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20051" w14:textId="2F6B1189" w:rsidR="00A10446" w:rsidRDefault="009955FB" w:rsidP="00A10446">
      <w:pPr>
        <w:pStyle w:val="Titolo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spacing w:before="0" w:after="0"/>
        <w:jc w:val="center"/>
        <w:rPr>
          <w:rFonts w:ascii="Arial" w:eastAsia="Arial" w:hAnsi="Arial" w:cs="Arial"/>
          <w:sz w:val="32"/>
          <w:szCs w:val="32"/>
        </w:rPr>
      </w:pPr>
      <w:r w:rsidRPr="00A10446">
        <w:rPr>
          <w:rFonts w:ascii="Arial" w:eastAsia="Arial" w:hAnsi="Arial" w:cs="Arial"/>
          <w:sz w:val="32"/>
          <w:szCs w:val="32"/>
        </w:rPr>
        <w:t>NEL 202</w:t>
      </w:r>
      <w:r w:rsidR="00A10446" w:rsidRPr="00A10446">
        <w:rPr>
          <w:rFonts w:ascii="Arial" w:eastAsia="Arial" w:hAnsi="Arial" w:cs="Arial"/>
          <w:sz w:val="32"/>
          <w:szCs w:val="32"/>
        </w:rPr>
        <w:t xml:space="preserve">4 LA </w:t>
      </w:r>
      <w:r w:rsidR="00A10446" w:rsidRPr="00671114">
        <w:rPr>
          <w:rFonts w:ascii="Arial" w:eastAsia="Arial" w:hAnsi="Arial" w:cs="Arial"/>
          <w:sz w:val="32"/>
          <w:szCs w:val="32"/>
        </w:rPr>
        <w:t>RACCOLTA</w:t>
      </w:r>
      <w:r w:rsidR="00A10446" w:rsidRPr="00A10446">
        <w:rPr>
          <w:rFonts w:ascii="Arial" w:eastAsia="Arial" w:hAnsi="Arial" w:cs="Arial"/>
          <w:sz w:val="32"/>
          <w:szCs w:val="32"/>
        </w:rPr>
        <w:t xml:space="preserve"> </w:t>
      </w:r>
      <w:r w:rsidR="00076918">
        <w:rPr>
          <w:rFonts w:ascii="Arial" w:eastAsia="Arial" w:hAnsi="Arial" w:cs="Arial"/>
          <w:sz w:val="32"/>
          <w:szCs w:val="32"/>
        </w:rPr>
        <w:t xml:space="preserve">NAZIONALE DEI </w:t>
      </w:r>
      <w:r w:rsidR="00A10446" w:rsidRPr="00A10446">
        <w:rPr>
          <w:rFonts w:ascii="Arial" w:eastAsia="Arial" w:hAnsi="Arial" w:cs="Arial"/>
          <w:sz w:val="32"/>
          <w:szCs w:val="32"/>
        </w:rPr>
        <w:t xml:space="preserve">RAEE </w:t>
      </w:r>
    </w:p>
    <w:p w14:paraId="69836118" w14:textId="7E5FD882" w:rsidR="00112F67" w:rsidRDefault="00A10446" w:rsidP="00A10446">
      <w:pPr>
        <w:pStyle w:val="Titolo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spacing w:before="0" w:after="0"/>
        <w:jc w:val="center"/>
        <w:rPr>
          <w:rFonts w:ascii="Arial" w:eastAsia="Arial" w:hAnsi="Arial" w:cs="Arial"/>
          <w:sz w:val="32"/>
          <w:szCs w:val="32"/>
        </w:rPr>
      </w:pPr>
      <w:r w:rsidRPr="00A10446">
        <w:rPr>
          <w:rFonts w:ascii="Arial" w:eastAsia="Arial" w:hAnsi="Arial" w:cs="Arial"/>
          <w:sz w:val="32"/>
          <w:szCs w:val="32"/>
        </w:rPr>
        <w:t xml:space="preserve">TORNA A </w:t>
      </w:r>
      <w:r>
        <w:rPr>
          <w:rFonts w:ascii="Arial" w:eastAsia="Arial" w:hAnsi="Arial" w:cs="Arial"/>
          <w:sz w:val="32"/>
          <w:szCs w:val="32"/>
        </w:rPr>
        <w:t>CRESCERE</w:t>
      </w:r>
    </w:p>
    <w:p w14:paraId="032C8BB9" w14:textId="190A5CD2" w:rsidR="00076918" w:rsidRDefault="00A10446" w:rsidP="00CE49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spacing w:line="276" w:lineRule="auto"/>
        <w:jc w:val="both"/>
        <w:rPr>
          <w:rStyle w:val="NessunoA"/>
          <w:rFonts w:ascii="Arial" w:hAnsi="Arial" w:cs="Arial"/>
          <w:i/>
          <w:iCs/>
          <w:u w:color="3B3838"/>
        </w:rPr>
      </w:pPr>
      <w:r w:rsidRPr="00076918">
        <w:rPr>
          <w:rStyle w:val="NessunoA"/>
          <w:rFonts w:ascii="Arial" w:hAnsi="Arial" w:cs="Arial"/>
          <w:i/>
          <w:iCs/>
          <w:u w:color="3B3838"/>
        </w:rPr>
        <w:t>I</w:t>
      </w:r>
      <w:r w:rsidR="009955FB" w:rsidRPr="00076918">
        <w:rPr>
          <w:rStyle w:val="NessunoA"/>
          <w:rFonts w:ascii="Arial" w:hAnsi="Arial" w:cs="Arial"/>
          <w:i/>
          <w:iCs/>
          <w:u w:color="3B3838"/>
        </w:rPr>
        <w:t xml:space="preserve">l </w:t>
      </w:r>
      <w:r w:rsidR="00076918">
        <w:rPr>
          <w:rStyle w:val="NessunoA"/>
          <w:rFonts w:ascii="Arial" w:hAnsi="Arial" w:cs="Arial"/>
          <w:i/>
          <w:iCs/>
          <w:u w:color="3B3838"/>
        </w:rPr>
        <w:t xml:space="preserve">nuovo </w:t>
      </w:r>
      <w:r w:rsidRPr="00076918">
        <w:rPr>
          <w:rStyle w:val="NessunoA"/>
          <w:rFonts w:ascii="Arial" w:hAnsi="Arial" w:cs="Arial"/>
          <w:i/>
          <w:iCs/>
          <w:u w:color="3B3838"/>
        </w:rPr>
        <w:t>Rapporto</w:t>
      </w:r>
      <w:r w:rsidR="009955FB" w:rsidRPr="00076918">
        <w:rPr>
          <w:rStyle w:val="NessunoA"/>
          <w:rFonts w:ascii="Arial" w:hAnsi="Arial" w:cs="Arial"/>
          <w:i/>
          <w:iCs/>
          <w:u w:color="3B3838"/>
        </w:rPr>
        <w:t xml:space="preserve"> Annuale del Centro di Coordinamento RAEE</w:t>
      </w:r>
      <w:r w:rsidR="00076918" w:rsidRPr="00076918">
        <w:rPr>
          <w:rStyle w:val="NessunoA"/>
          <w:rFonts w:ascii="Arial" w:hAnsi="Arial" w:cs="Arial"/>
          <w:i/>
          <w:iCs/>
          <w:u w:color="3B3838"/>
        </w:rPr>
        <w:t xml:space="preserve"> evidenzia che</w:t>
      </w:r>
      <w:r w:rsidR="009955FB" w:rsidRPr="00076918">
        <w:rPr>
          <w:rStyle w:val="NessunoA"/>
          <w:rFonts w:ascii="Arial" w:hAnsi="Arial" w:cs="Arial"/>
          <w:i/>
          <w:iCs/>
          <w:u w:color="3B3838"/>
        </w:rPr>
        <w:t xml:space="preserve"> lo scorso anno</w:t>
      </w:r>
      <w:r w:rsidR="00076918" w:rsidRPr="00076918">
        <w:rPr>
          <w:rStyle w:val="NessunoA"/>
          <w:rFonts w:ascii="Arial" w:hAnsi="Arial" w:cs="Arial"/>
          <w:i/>
          <w:iCs/>
          <w:u w:color="3B3838"/>
        </w:rPr>
        <w:t xml:space="preserve"> nel nostro Paese</w:t>
      </w:r>
      <w:r w:rsidR="005E338D" w:rsidRPr="00076918">
        <w:rPr>
          <w:rStyle w:val="NessunoA"/>
          <w:rFonts w:ascii="Arial" w:hAnsi="Arial" w:cs="Arial"/>
          <w:i/>
          <w:iCs/>
          <w:u w:color="3B3838"/>
        </w:rPr>
        <w:t xml:space="preserve"> sono stati avviati a corretto riciclo</w:t>
      </w:r>
      <w:r w:rsidR="00076918" w:rsidRPr="00076918">
        <w:rPr>
          <w:rStyle w:val="NessunoA"/>
          <w:rFonts w:ascii="Arial" w:hAnsi="Arial" w:cs="Arial"/>
          <w:i/>
          <w:iCs/>
          <w:u w:color="3B3838"/>
        </w:rPr>
        <w:t xml:space="preserve"> </w:t>
      </w:r>
      <w:r w:rsidR="00B02779">
        <w:rPr>
          <w:rStyle w:val="NessunoA"/>
          <w:rFonts w:ascii="Arial" w:hAnsi="Arial" w:cs="Arial"/>
          <w:i/>
          <w:iCs/>
          <w:u w:color="3B3838"/>
        </w:rPr>
        <w:t xml:space="preserve">da tutti i </w:t>
      </w:r>
      <w:r w:rsidR="00B02779" w:rsidRPr="00671114">
        <w:rPr>
          <w:rStyle w:val="NessunoA"/>
          <w:rFonts w:ascii="Arial" w:hAnsi="Arial" w:cs="Arial"/>
          <w:i/>
          <w:iCs/>
          <w:u w:color="3B3838"/>
        </w:rPr>
        <w:t>sistemi collettivi consorziati</w:t>
      </w:r>
      <w:r w:rsidR="00B02779">
        <w:rPr>
          <w:rStyle w:val="NessunoA"/>
          <w:rFonts w:ascii="Arial" w:hAnsi="Arial" w:cs="Arial"/>
          <w:b/>
          <w:bCs/>
          <w:u w:color="3B3838"/>
        </w:rPr>
        <w:t xml:space="preserve"> </w:t>
      </w:r>
      <w:r w:rsidR="00076918" w:rsidRPr="00076918">
        <w:rPr>
          <w:rStyle w:val="NessunoA"/>
          <w:rFonts w:ascii="Arial" w:hAnsi="Arial" w:cs="Arial"/>
          <w:i/>
          <w:iCs/>
          <w:u w:color="3B3838"/>
        </w:rPr>
        <w:t xml:space="preserve">quasi 360mila tonnellate di </w:t>
      </w:r>
      <w:r w:rsidR="00A72578" w:rsidRPr="00076918">
        <w:rPr>
          <w:rStyle w:val="NessunoA"/>
          <w:rFonts w:ascii="Arial" w:hAnsi="Arial" w:cs="Arial"/>
          <w:i/>
          <w:iCs/>
          <w:u w:color="3B3838"/>
        </w:rPr>
        <w:t>rifiuti da apparecchiature elettriche ed elettroniche</w:t>
      </w:r>
      <w:r w:rsidR="00076918">
        <w:rPr>
          <w:rStyle w:val="NessunoA"/>
          <w:rFonts w:ascii="Arial" w:hAnsi="Arial" w:cs="Arial"/>
          <w:i/>
          <w:iCs/>
          <w:u w:color="3B3838"/>
        </w:rPr>
        <w:t>, il 2,5% in più rispetto al 2023</w:t>
      </w:r>
      <w:r w:rsidR="00A72578" w:rsidRPr="00076918">
        <w:rPr>
          <w:rStyle w:val="NessunoA"/>
          <w:rFonts w:ascii="Arial" w:hAnsi="Arial" w:cs="Arial"/>
          <w:i/>
          <w:iCs/>
          <w:u w:color="3B3838"/>
        </w:rPr>
        <w:t>.</w:t>
      </w:r>
      <w:r w:rsidR="00076918">
        <w:rPr>
          <w:rStyle w:val="NessunoA"/>
          <w:rFonts w:ascii="Arial" w:hAnsi="Arial" w:cs="Arial"/>
          <w:i/>
          <w:iCs/>
          <w:u w:color="3B3838"/>
        </w:rPr>
        <w:t xml:space="preserve"> Un risultato che si traduce in una raccolta pro capite che sale a 6,07 kg/ab</w:t>
      </w:r>
      <w:r w:rsidR="003E04AC" w:rsidRPr="00076918">
        <w:rPr>
          <w:rStyle w:val="NessunoA"/>
          <w:rFonts w:ascii="Arial" w:hAnsi="Arial" w:cs="Arial"/>
          <w:i/>
          <w:iCs/>
          <w:u w:color="3B3838"/>
        </w:rPr>
        <w:t xml:space="preserve">. </w:t>
      </w:r>
      <w:r w:rsidR="00B02779">
        <w:rPr>
          <w:rStyle w:val="NessunoA"/>
          <w:rFonts w:ascii="Arial" w:hAnsi="Arial" w:cs="Arial"/>
          <w:i/>
          <w:iCs/>
          <w:u w:color="3B3838"/>
        </w:rPr>
        <w:t xml:space="preserve">A livello geografico, pressoché </w:t>
      </w:r>
      <w:r w:rsidR="00671114">
        <w:rPr>
          <w:rStyle w:val="NessunoA"/>
          <w:rFonts w:ascii="Arial" w:hAnsi="Arial" w:cs="Arial"/>
          <w:i/>
          <w:iCs/>
          <w:u w:color="3B3838"/>
        </w:rPr>
        <w:t>tutte le</w:t>
      </w:r>
      <w:r w:rsidR="00B02779">
        <w:rPr>
          <w:rStyle w:val="NessunoA"/>
          <w:rFonts w:ascii="Arial" w:hAnsi="Arial" w:cs="Arial"/>
          <w:i/>
          <w:iCs/>
          <w:u w:color="3B3838"/>
        </w:rPr>
        <w:t xml:space="preserve"> regioni evidenziano </w:t>
      </w:r>
      <w:r w:rsidR="00671114">
        <w:rPr>
          <w:rStyle w:val="NessunoA"/>
          <w:rFonts w:ascii="Arial" w:hAnsi="Arial" w:cs="Arial"/>
          <w:i/>
          <w:iCs/>
          <w:u w:color="3B3838"/>
        </w:rPr>
        <w:t>incrementi o stabilità nei quantitativi raccolti. La Valle d’Aosta torna prima per raccolta pro capite con 10,34 kg/ab, al contrario la Campania si conferma ancora una volta ultima con poco più di 3 kg/ab</w:t>
      </w:r>
    </w:p>
    <w:p w14:paraId="2AE53B8A" w14:textId="77777777" w:rsidR="0044474C" w:rsidRDefault="0044474C" w:rsidP="00C055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jc w:val="both"/>
        <w:rPr>
          <w:rStyle w:val="NessunoA"/>
          <w:rFonts w:ascii="Arial" w:hAnsi="Arial" w:cs="Arial"/>
          <w:b/>
          <w:bCs/>
          <w:color w:val="3B3838"/>
          <w:u w:color="3B3838"/>
        </w:rPr>
      </w:pPr>
    </w:p>
    <w:p w14:paraId="6A4FEA5E" w14:textId="37AD9736" w:rsidR="002D44E6" w:rsidRDefault="0044474C" w:rsidP="00094FC6">
      <w:pPr>
        <w:jc w:val="both"/>
        <w:rPr>
          <w:rStyle w:val="NessunoA"/>
          <w:rFonts w:ascii="Arial" w:hAnsi="Arial" w:cs="Arial"/>
          <w:u w:color="3B3838"/>
        </w:rPr>
      </w:pPr>
      <w:r w:rsidRPr="00064461">
        <w:rPr>
          <w:rStyle w:val="NessunoA"/>
          <w:rFonts w:ascii="Arial" w:hAnsi="Arial" w:cs="Arial"/>
          <w:b/>
          <w:bCs/>
          <w:u w:color="3B3838"/>
        </w:rPr>
        <w:t xml:space="preserve">Milano, </w:t>
      </w:r>
      <w:r w:rsidR="007C4865">
        <w:rPr>
          <w:rStyle w:val="NessunoA"/>
          <w:rFonts w:ascii="Arial" w:hAnsi="Arial" w:cs="Arial"/>
          <w:b/>
          <w:bCs/>
          <w:u w:color="3B3838"/>
        </w:rPr>
        <w:t>2</w:t>
      </w:r>
      <w:r w:rsidR="009C6060">
        <w:rPr>
          <w:rStyle w:val="NessunoA"/>
          <w:rFonts w:ascii="Arial" w:hAnsi="Arial" w:cs="Arial"/>
          <w:b/>
          <w:bCs/>
          <w:u w:color="3B3838"/>
        </w:rPr>
        <w:t>6</w:t>
      </w:r>
      <w:r w:rsidR="00CE49FF" w:rsidRPr="00064461">
        <w:rPr>
          <w:rStyle w:val="NessunoA"/>
          <w:rFonts w:ascii="Arial" w:hAnsi="Arial" w:cs="Arial"/>
          <w:b/>
          <w:bCs/>
          <w:u w:color="3B3838"/>
        </w:rPr>
        <w:t xml:space="preserve"> </w:t>
      </w:r>
      <w:r w:rsidR="001D7652" w:rsidRPr="00064461">
        <w:rPr>
          <w:rStyle w:val="NessunoA"/>
          <w:rFonts w:ascii="Arial" w:hAnsi="Arial" w:cs="Arial"/>
          <w:b/>
          <w:bCs/>
          <w:u w:color="3B3838"/>
        </w:rPr>
        <w:t xml:space="preserve">marzo </w:t>
      </w:r>
      <w:r w:rsidRPr="00064461">
        <w:rPr>
          <w:rStyle w:val="NessunoA"/>
          <w:rFonts w:ascii="Arial" w:hAnsi="Arial" w:cs="Arial"/>
          <w:b/>
          <w:bCs/>
          <w:u w:color="3B3838"/>
        </w:rPr>
        <w:t>202</w:t>
      </w:r>
      <w:r w:rsidR="009C6060">
        <w:rPr>
          <w:rStyle w:val="NessunoA"/>
          <w:rFonts w:ascii="Arial" w:hAnsi="Arial" w:cs="Arial"/>
          <w:b/>
          <w:bCs/>
          <w:u w:color="3B3838"/>
        </w:rPr>
        <w:t>5</w:t>
      </w:r>
      <w:r w:rsidRPr="00064461">
        <w:rPr>
          <w:rStyle w:val="NessunoA"/>
          <w:rFonts w:ascii="Arial" w:hAnsi="Arial" w:cs="Arial"/>
          <w:u w:color="3B3838"/>
        </w:rPr>
        <w:t xml:space="preserve"> – </w:t>
      </w:r>
      <w:r w:rsidR="00BC527F">
        <w:rPr>
          <w:rStyle w:val="NessunoA"/>
          <w:rFonts w:ascii="Arial" w:hAnsi="Arial" w:cs="Arial"/>
          <w:u w:color="3B3838"/>
        </w:rPr>
        <w:t xml:space="preserve">Sono </w:t>
      </w:r>
      <w:r w:rsidR="00BC527F" w:rsidRPr="001E582E">
        <w:rPr>
          <w:rStyle w:val="NessunoA"/>
          <w:rFonts w:ascii="Arial" w:hAnsi="Arial" w:cs="Arial"/>
          <w:b/>
          <w:bCs/>
          <w:u w:color="3B3838"/>
        </w:rPr>
        <w:t>quasi 360mila le tonnellate</w:t>
      </w:r>
      <w:r w:rsidR="00BC527F">
        <w:rPr>
          <w:rStyle w:val="NessunoA"/>
          <w:rFonts w:ascii="Arial" w:hAnsi="Arial" w:cs="Arial"/>
          <w:u w:color="3B3838"/>
        </w:rPr>
        <w:t xml:space="preserve"> di </w:t>
      </w:r>
      <w:r w:rsidR="002D44E6" w:rsidRPr="00064461">
        <w:rPr>
          <w:rStyle w:val="NessunoA"/>
          <w:rFonts w:ascii="Arial" w:hAnsi="Arial" w:cs="Arial"/>
          <w:b/>
          <w:bCs/>
          <w:u w:color="3B3838"/>
        </w:rPr>
        <w:t>rifiuti</w:t>
      </w:r>
      <w:r w:rsidR="002D44E6">
        <w:rPr>
          <w:rStyle w:val="NessunoA"/>
          <w:rFonts w:ascii="Arial" w:hAnsi="Arial" w:cs="Arial"/>
          <w:b/>
          <w:bCs/>
          <w:u w:color="3B3838"/>
        </w:rPr>
        <w:t xml:space="preserve"> </w:t>
      </w:r>
      <w:r w:rsidR="002D44E6" w:rsidRPr="00064461">
        <w:rPr>
          <w:rStyle w:val="NessunoA"/>
          <w:rFonts w:ascii="Arial" w:hAnsi="Arial" w:cs="Arial"/>
          <w:b/>
          <w:bCs/>
          <w:u w:color="3B3838"/>
        </w:rPr>
        <w:t>da apparecchiature elettriche ed elettroniche (RAEE</w:t>
      </w:r>
      <w:r w:rsidR="002D44E6" w:rsidRPr="00064461">
        <w:rPr>
          <w:rStyle w:val="NessunoA"/>
          <w:rFonts w:ascii="Arial" w:hAnsi="Arial" w:cs="Arial"/>
          <w:u w:color="3B3838"/>
        </w:rPr>
        <w:t>)</w:t>
      </w:r>
      <w:r w:rsidR="00BC527F">
        <w:rPr>
          <w:rStyle w:val="NessunoA"/>
          <w:rFonts w:ascii="Arial" w:hAnsi="Arial" w:cs="Arial"/>
          <w:u w:color="3B3838"/>
        </w:rPr>
        <w:t xml:space="preserve"> domestici </w:t>
      </w:r>
      <w:r w:rsidR="00340BBC">
        <w:rPr>
          <w:rStyle w:val="NessunoA"/>
          <w:rFonts w:ascii="Arial" w:hAnsi="Arial" w:cs="Arial"/>
          <w:u w:color="3B3838"/>
        </w:rPr>
        <w:t>avviat</w:t>
      </w:r>
      <w:r w:rsidR="00EC612C">
        <w:rPr>
          <w:rStyle w:val="NessunoA"/>
          <w:rFonts w:ascii="Arial" w:hAnsi="Arial" w:cs="Arial"/>
          <w:u w:color="3B3838"/>
        </w:rPr>
        <w:t>i</w:t>
      </w:r>
      <w:r w:rsidR="00340BBC">
        <w:rPr>
          <w:rStyle w:val="NessunoA"/>
          <w:rFonts w:ascii="Arial" w:hAnsi="Arial" w:cs="Arial"/>
          <w:u w:color="3B3838"/>
        </w:rPr>
        <w:t xml:space="preserve"> a corretto riciclo</w:t>
      </w:r>
      <w:r w:rsidR="00BC527F">
        <w:rPr>
          <w:rStyle w:val="NessunoA"/>
          <w:rFonts w:ascii="Arial" w:hAnsi="Arial" w:cs="Arial"/>
          <w:u w:color="3B3838"/>
        </w:rPr>
        <w:t xml:space="preserve"> in Italia nel 2024</w:t>
      </w:r>
      <w:r w:rsidR="003D3CDC">
        <w:rPr>
          <w:rStyle w:val="NessunoA"/>
          <w:rFonts w:ascii="Arial" w:hAnsi="Arial" w:cs="Arial"/>
          <w:u w:color="3B3838"/>
        </w:rPr>
        <w:t xml:space="preserve">, </w:t>
      </w:r>
      <w:r w:rsidR="003D3CDC" w:rsidRPr="001E582E">
        <w:rPr>
          <w:rStyle w:val="NessunoA"/>
          <w:rFonts w:ascii="Arial" w:hAnsi="Arial" w:cs="Arial"/>
          <w:b/>
          <w:bCs/>
          <w:u w:color="3B3838"/>
        </w:rPr>
        <w:t>in crescita del 2,5%</w:t>
      </w:r>
      <w:r w:rsidR="003D3CDC">
        <w:rPr>
          <w:rStyle w:val="NessunoA"/>
          <w:rFonts w:ascii="Arial" w:hAnsi="Arial" w:cs="Arial"/>
          <w:u w:color="3B3838"/>
        </w:rPr>
        <w:t xml:space="preserve"> rispetto </w:t>
      </w:r>
      <w:r w:rsidR="00B03EAC">
        <w:rPr>
          <w:rStyle w:val="NessunoA"/>
          <w:rFonts w:ascii="Arial" w:hAnsi="Arial" w:cs="Arial"/>
          <w:u w:color="3B3838"/>
        </w:rPr>
        <w:t>all’anno precedente</w:t>
      </w:r>
      <w:r w:rsidR="00BC527F">
        <w:rPr>
          <w:rStyle w:val="NessunoA"/>
          <w:rFonts w:ascii="Arial" w:hAnsi="Arial" w:cs="Arial"/>
          <w:u w:color="3B3838"/>
        </w:rPr>
        <w:t>.</w:t>
      </w:r>
      <w:r w:rsidR="003D3CDC">
        <w:rPr>
          <w:rStyle w:val="NessunoA"/>
          <w:rFonts w:ascii="Arial" w:hAnsi="Arial" w:cs="Arial"/>
          <w:u w:color="3B3838"/>
        </w:rPr>
        <w:t xml:space="preserve"> Lo rileva il </w:t>
      </w:r>
      <w:r w:rsidR="00063A0E">
        <w:rPr>
          <w:rStyle w:val="NessunoA"/>
          <w:rFonts w:ascii="Arial" w:hAnsi="Arial" w:cs="Arial"/>
          <w:u w:color="3B3838"/>
        </w:rPr>
        <w:t xml:space="preserve">nuovo </w:t>
      </w:r>
      <w:r w:rsidR="003D3CDC" w:rsidRPr="001E582E">
        <w:rPr>
          <w:rStyle w:val="NessunoA"/>
          <w:rFonts w:ascii="Arial" w:hAnsi="Arial" w:cs="Arial"/>
          <w:b/>
          <w:bCs/>
          <w:u w:color="3B3838"/>
        </w:rPr>
        <w:t xml:space="preserve">Rapporto Annuale </w:t>
      </w:r>
      <w:r w:rsidR="003D3CDC">
        <w:rPr>
          <w:rStyle w:val="NessunoA"/>
          <w:rFonts w:ascii="Arial" w:hAnsi="Arial" w:cs="Arial"/>
          <w:u w:color="3B3838"/>
        </w:rPr>
        <w:t xml:space="preserve">del </w:t>
      </w:r>
      <w:r w:rsidR="003D3CDC" w:rsidRPr="001E582E">
        <w:rPr>
          <w:rStyle w:val="NessunoA"/>
          <w:rFonts w:ascii="Arial" w:hAnsi="Arial" w:cs="Arial"/>
          <w:b/>
          <w:bCs/>
          <w:u w:color="3B3838"/>
        </w:rPr>
        <w:t>Centro di Coordinamento RAEE</w:t>
      </w:r>
      <w:r w:rsidR="003D3CDC">
        <w:rPr>
          <w:rStyle w:val="NessunoA"/>
          <w:rFonts w:ascii="Arial" w:hAnsi="Arial" w:cs="Arial"/>
          <w:u w:color="3B3838"/>
        </w:rPr>
        <w:t xml:space="preserve"> che dal 2008 sintetizza i risultati della raccolta </w:t>
      </w:r>
      <w:r w:rsidR="001E582E">
        <w:rPr>
          <w:rStyle w:val="NessunoA"/>
          <w:rFonts w:ascii="Arial" w:hAnsi="Arial" w:cs="Arial"/>
          <w:u w:color="3B3838"/>
        </w:rPr>
        <w:t>complessiva</w:t>
      </w:r>
      <w:r w:rsidR="003D3CDC">
        <w:rPr>
          <w:rStyle w:val="NessunoA"/>
          <w:rFonts w:ascii="Arial" w:hAnsi="Arial" w:cs="Arial"/>
          <w:u w:color="3B3838"/>
        </w:rPr>
        <w:t xml:space="preserve"> effettuata </w:t>
      </w:r>
      <w:r w:rsidR="001E582E">
        <w:rPr>
          <w:rStyle w:val="NessunoA"/>
          <w:rFonts w:ascii="Arial" w:hAnsi="Arial" w:cs="Arial"/>
          <w:u w:color="3B3838"/>
        </w:rPr>
        <w:t xml:space="preserve">in Italia </w:t>
      </w:r>
      <w:r w:rsidR="003D3CDC">
        <w:rPr>
          <w:rStyle w:val="NessunoA"/>
          <w:rFonts w:ascii="Arial" w:hAnsi="Arial" w:cs="Arial"/>
          <w:u w:color="3B3838"/>
        </w:rPr>
        <w:t xml:space="preserve">da tutti i sistemi collettivi </w:t>
      </w:r>
      <w:r w:rsidR="001E582E">
        <w:rPr>
          <w:rStyle w:val="NessunoA"/>
          <w:rFonts w:ascii="Arial" w:hAnsi="Arial" w:cs="Arial"/>
          <w:u w:color="3B3838"/>
        </w:rPr>
        <w:t xml:space="preserve">dei produttori di apparecchiature elettriche ed elettroniche </w:t>
      </w:r>
      <w:r w:rsidR="003D3CDC">
        <w:rPr>
          <w:rStyle w:val="NessunoA"/>
          <w:rFonts w:ascii="Arial" w:hAnsi="Arial" w:cs="Arial"/>
          <w:u w:color="3B3838"/>
        </w:rPr>
        <w:t>consorziati</w:t>
      </w:r>
      <w:r w:rsidR="001E582E">
        <w:rPr>
          <w:rStyle w:val="NessunoA"/>
          <w:rFonts w:ascii="Arial" w:hAnsi="Arial" w:cs="Arial"/>
          <w:u w:color="3B3838"/>
        </w:rPr>
        <w:t xml:space="preserve">. </w:t>
      </w:r>
    </w:p>
    <w:p w14:paraId="49791BA3" w14:textId="77777777" w:rsidR="00653C05" w:rsidRDefault="00653C05" w:rsidP="00094FC6">
      <w:pPr>
        <w:jc w:val="both"/>
        <w:rPr>
          <w:rStyle w:val="NessunoA"/>
          <w:rFonts w:ascii="Arial" w:hAnsi="Arial" w:cs="Arial"/>
          <w:u w:color="3B3838"/>
        </w:rPr>
      </w:pPr>
    </w:p>
    <w:p w14:paraId="6486029F" w14:textId="3ECFA142" w:rsidR="00721937" w:rsidRPr="00064461" w:rsidRDefault="00C64E91" w:rsidP="00721937">
      <w:pPr>
        <w:jc w:val="both"/>
        <w:rPr>
          <w:rFonts w:ascii="Arial" w:hAnsi="Arial" w:cs="Arial"/>
          <w:u w:color="3B3838"/>
        </w:rPr>
      </w:pPr>
      <w:r>
        <w:rPr>
          <w:rStyle w:val="NessunoA"/>
          <w:rFonts w:ascii="Arial" w:hAnsi="Arial" w:cs="Arial"/>
          <w:u w:color="3B3838"/>
        </w:rPr>
        <w:t xml:space="preserve">A partire dal 2022 questi risultati </w:t>
      </w:r>
      <w:r w:rsidR="004F3394">
        <w:rPr>
          <w:rStyle w:val="NessunoA"/>
          <w:rFonts w:ascii="Arial" w:hAnsi="Arial" w:cs="Arial"/>
          <w:u w:color="3B3838"/>
        </w:rPr>
        <w:t>sono comprensivi anche de</w:t>
      </w:r>
      <w:r>
        <w:rPr>
          <w:rStyle w:val="NessunoA"/>
          <w:rFonts w:ascii="Arial" w:hAnsi="Arial" w:cs="Arial"/>
          <w:u w:color="3B3838"/>
        </w:rPr>
        <w:t>i dati d</w:t>
      </w:r>
      <w:r w:rsidR="009C6C16">
        <w:rPr>
          <w:rStyle w:val="NessunoA"/>
          <w:rFonts w:ascii="Arial" w:hAnsi="Arial" w:cs="Arial"/>
          <w:u w:color="3B3838"/>
        </w:rPr>
        <w:t>ella</w:t>
      </w:r>
      <w:r>
        <w:rPr>
          <w:rStyle w:val="NessunoA"/>
          <w:rFonts w:ascii="Arial" w:hAnsi="Arial" w:cs="Arial"/>
          <w:u w:color="3B3838"/>
        </w:rPr>
        <w:t xml:space="preserve"> raccolta diretta </w:t>
      </w:r>
      <w:r w:rsidRPr="00F94866">
        <w:rPr>
          <w:rStyle w:val="NessunoA"/>
          <w:rFonts w:ascii="Arial" w:hAnsi="Arial" w:cs="Arial"/>
          <w:u w:color="3B3838"/>
        </w:rPr>
        <w:t xml:space="preserve">effettuata dalle </w:t>
      </w:r>
      <w:r>
        <w:rPr>
          <w:rStyle w:val="NessunoA"/>
          <w:rFonts w:ascii="Arial" w:hAnsi="Arial" w:cs="Arial"/>
          <w:u w:color="3B3838"/>
        </w:rPr>
        <w:t>aziende</w:t>
      </w:r>
      <w:r w:rsidRPr="00F94866">
        <w:rPr>
          <w:rStyle w:val="NessunoA"/>
          <w:rFonts w:ascii="Arial" w:hAnsi="Arial" w:cs="Arial"/>
          <w:u w:color="3B3838"/>
        </w:rPr>
        <w:t xml:space="preserve"> d</w:t>
      </w:r>
      <w:r>
        <w:rPr>
          <w:rStyle w:val="NessunoA"/>
          <w:rFonts w:ascii="Arial" w:hAnsi="Arial" w:cs="Arial"/>
          <w:u w:color="3B3838"/>
        </w:rPr>
        <w:t>i</w:t>
      </w:r>
      <w:r w:rsidRPr="00F94866">
        <w:rPr>
          <w:rStyle w:val="NessunoA"/>
          <w:rFonts w:ascii="Arial" w:hAnsi="Arial" w:cs="Arial"/>
          <w:u w:color="3B3838"/>
        </w:rPr>
        <w:t xml:space="preserve"> raccolta </w:t>
      </w:r>
      <w:r>
        <w:rPr>
          <w:rStyle w:val="NessunoA"/>
          <w:rFonts w:ascii="Arial" w:hAnsi="Arial" w:cs="Arial"/>
          <w:u w:color="3B3838"/>
        </w:rPr>
        <w:t xml:space="preserve">rifiuti </w:t>
      </w:r>
      <w:r w:rsidR="00FB3502">
        <w:rPr>
          <w:rStyle w:val="NessunoA"/>
          <w:rFonts w:ascii="Arial" w:hAnsi="Arial" w:cs="Arial"/>
          <w:u w:color="3B3838"/>
        </w:rPr>
        <w:t>nell’ambito di accordi con il CdC RAEE</w:t>
      </w:r>
      <w:r w:rsidRPr="00F94866">
        <w:rPr>
          <w:rStyle w:val="NessunoA"/>
          <w:rFonts w:ascii="Arial" w:hAnsi="Arial" w:cs="Arial"/>
          <w:u w:color="3B3838"/>
        </w:rPr>
        <w:t xml:space="preserve"> e gestita nel sistema ufficiale</w:t>
      </w:r>
      <w:r>
        <w:rPr>
          <w:rStyle w:val="NessunoA"/>
          <w:rFonts w:ascii="Arial" w:hAnsi="Arial" w:cs="Arial"/>
          <w:u w:color="3B3838"/>
        </w:rPr>
        <w:t>.</w:t>
      </w:r>
      <w:r w:rsidR="00653C05">
        <w:rPr>
          <w:rStyle w:val="NessunoA"/>
          <w:rFonts w:ascii="Arial" w:hAnsi="Arial" w:cs="Arial"/>
          <w:u w:color="3B3838"/>
        </w:rPr>
        <w:t xml:space="preserve"> </w:t>
      </w:r>
      <w:r w:rsidR="001E582E">
        <w:rPr>
          <w:rStyle w:val="NessunoA"/>
          <w:rFonts w:ascii="Arial" w:hAnsi="Arial" w:cs="Arial"/>
          <w:u w:color="3B3838"/>
        </w:rPr>
        <w:t>In forza di questo perimetro</w:t>
      </w:r>
      <w:r w:rsidR="00721937" w:rsidRPr="00064461">
        <w:rPr>
          <w:rStyle w:val="NessunoA"/>
          <w:rFonts w:ascii="Arial" w:hAnsi="Arial" w:cs="Arial"/>
          <w:u w:color="3B3838"/>
        </w:rPr>
        <w:t xml:space="preserve">, </w:t>
      </w:r>
      <w:r w:rsidR="00094FC6">
        <w:rPr>
          <w:rStyle w:val="NessunoA"/>
          <w:rFonts w:ascii="Arial" w:hAnsi="Arial" w:cs="Arial"/>
          <w:u w:color="3B3838"/>
        </w:rPr>
        <w:t xml:space="preserve">il </w:t>
      </w:r>
      <w:r w:rsidR="002E0F0D">
        <w:rPr>
          <w:rStyle w:val="NessunoA"/>
          <w:rFonts w:ascii="Arial" w:hAnsi="Arial" w:cs="Arial"/>
          <w:b/>
          <w:bCs/>
          <w:u w:color="3B3838"/>
        </w:rPr>
        <w:t>r</w:t>
      </w:r>
      <w:r w:rsidR="00094FC6" w:rsidRPr="00B03EAC">
        <w:rPr>
          <w:rStyle w:val="NessunoA"/>
          <w:rFonts w:ascii="Arial" w:hAnsi="Arial" w:cs="Arial"/>
          <w:b/>
          <w:bCs/>
          <w:u w:color="3B3838"/>
        </w:rPr>
        <w:t>eport</w:t>
      </w:r>
      <w:r w:rsidR="00721937" w:rsidRPr="00112F67">
        <w:rPr>
          <w:rStyle w:val="NessunoA"/>
          <w:rFonts w:ascii="Arial" w:hAnsi="Arial" w:cs="Arial"/>
          <w:u w:color="3B3838"/>
        </w:rPr>
        <w:t xml:space="preserve"> </w:t>
      </w:r>
      <w:r w:rsidR="00FD64A9" w:rsidRPr="00FD64A9">
        <w:rPr>
          <w:rFonts w:ascii="Arial" w:hAnsi="Arial" w:cs="Arial"/>
          <w:b/>
          <w:bCs/>
        </w:rPr>
        <w:t>fotografa</w:t>
      </w:r>
      <w:r w:rsidR="00721937" w:rsidRPr="00064461">
        <w:rPr>
          <w:rFonts w:ascii="Arial" w:hAnsi="Arial" w:cs="Arial"/>
          <w:b/>
          <w:bCs/>
        </w:rPr>
        <w:t xml:space="preserve"> l’andamento della raccolta di RAEE</w:t>
      </w:r>
      <w:r w:rsidR="00721937" w:rsidRPr="00064461">
        <w:rPr>
          <w:rFonts w:ascii="Arial" w:hAnsi="Arial" w:cs="Arial"/>
        </w:rPr>
        <w:t xml:space="preserve"> domestici </w:t>
      </w:r>
      <w:r w:rsidR="00721937" w:rsidRPr="00B03EAC">
        <w:rPr>
          <w:rFonts w:ascii="Arial" w:hAnsi="Arial" w:cs="Arial"/>
          <w:b/>
          <w:bCs/>
        </w:rPr>
        <w:t>nella sua totalità</w:t>
      </w:r>
      <w:r w:rsidR="00721937" w:rsidRPr="00064461">
        <w:rPr>
          <w:rFonts w:ascii="Arial" w:hAnsi="Arial" w:cs="Arial"/>
        </w:rPr>
        <w:t xml:space="preserve"> a </w:t>
      </w:r>
      <w:r w:rsidR="00721937" w:rsidRPr="00064461">
        <w:rPr>
          <w:rFonts w:ascii="Arial" w:hAnsi="Arial" w:cs="Arial"/>
          <w:b/>
          <w:bCs/>
        </w:rPr>
        <w:t>livello nazionale</w:t>
      </w:r>
      <w:r w:rsidR="00721937" w:rsidRPr="00064461">
        <w:rPr>
          <w:rFonts w:ascii="Arial" w:hAnsi="Arial" w:cs="Arial"/>
          <w:u w:color="404040"/>
        </w:rPr>
        <w:t>.</w:t>
      </w:r>
      <w:r w:rsidR="00721937" w:rsidRPr="00064461">
        <w:rPr>
          <w:rFonts w:ascii="Arial" w:hAnsi="Arial" w:cs="Arial"/>
          <w:u w:color="3B3838"/>
        </w:rPr>
        <w:t xml:space="preserve"> </w:t>
      </w:r>
    </w:p>
    <w:p w14:paraId="3449F66C" w14:textId="041F8BA5" w:rsidR="005F3564" w:rsidRPr="00064461" w:rsidRDefault="005F3564" w:rsidP="00C05554">
      <w:pPr>
        <w:jc w:val="both"/>
        <w:rPr>
          <w:rStyle w:val="NessunoA"/>
          <w:rFonts w:ascii="Arial" w:hAnsi="Arial" w:cs="Arial"/>
          <w:u w:color="3B3838"/>
        </w:rPr>
      </w:pPr>
    </w:p>
    <w:p w14:paraId="78F3B379" w14:textId="58776C46" w:rsidR="00DD5C47" w:rsidRDefault="00D14D4A" w:rsidP="00D14D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jc w:val="both"/>
        <w:rPr>
          <w:rStyle w:val="NessunoA"/>
          <w:rFonts w:ascii="Arial" w:hAnsi="Arial" w:cs="Arial"/>
          <w:u w:color="3B3838"/>
        </w:rPr>
      </w:pPr>
      <w:r w:rsidRPr="00064461">
        <w:rPr>
          <w:rStyle w:val="NessunoA"/>
          <w:rFonts w:ascii="Arial" w:hAnsi="Arial" w:cs="Arial"/>
          <w:u w:color="3B3838"/>
        </w:rPr>
        <w:t xml:space="preserve">Più </w:t>
      </w:r>
      <w:r w:rsidR="00EC612C">
        <w:rPr>
          <w:rStyle w:val="NessunoA"/>
          <w:rFonts w:ascii="Arial" w:hAnsi="Arial" w:cs="Arial"/>
          <w:u w:color="3B3838"/>
        </w:rPr>
        <w:t>nel dettaglio</w:t>
      </w:r>
      <w:r w:rsidRPr="00064461">
        <w:rPr>
          <w:rStyle w:val="NessunoA"/>
          <w:rFonts w:ascii="Arial" w:hAnsi="Arial" w:cs="Arial"/>
          <w:u w:color="3B3838"/>
        </w:rPr>
        <w:t xml:space="preserve">, </w:t>
      </w:r>
      <w:r w:rsidR="001E582E">
        <w:rPr>
          <w:rStyle w:val="NessunoA"/>
          <w:rFonts w:ascii="Arial" w:hAnsi="Arial" w:cs="Arial"/>
          <w:u w:color="3B3838"/>
        </w:rPr>
        <w:t>nel corso dello</w:t>
      </w:r>
      <w:r w:rsidRPr="00064461">
        <w:rPr>
          <w:rStyle w:val="NessunoA"/>
          <w:rFonts w:ascii="Arial" w:hAnsi="Arial" w:cs="Arial"/>
          <w:u w:color="3B3838"/>
        </w:rPr>
        <w:t xml:space="preserve"> scorso anno i </w:t>
      </w:r>
      <w:r w:rsidRPr="00064461">
        <w:rPr>
          <w:rStyle w:val="NessunoA"/>
          <w:rFonts w:ascii="Arial" w:hAnsi="Arial" w:cs="Arial"/>
          <w:b/>
          <w:bCs/>
          <w:u w:color="3B3838"/>
        </w:rPr>
        <w:t xml:space="preserve">sistemi collettivi </w:t>
      </w:r>
      <w:r w:rsidR="001E582E">
        <w:rPr>
          <w:rStyle w:val="NessunoA"/>
          <w:rFonts w:ascii="Arial" w:hAnsi="Arial" w:cs="Arial"/>
          <w:b/>
          <w:bCs/>
          <w:u w:color="3B3838"/>
        </w:rPr>
        <w:t xml:space="preserve">consorziati </w:t>
      </w:r>
      <w:r w:rsidR="00B03EAC">
        <w:rPr>
          <w:rStyle w:val="NessunoA"/>
          <w:rFonts w:ascii="Arial" w:hAnsi="Arial" w:cs="Arial"/>
          <w:b/>
          <w:bCs/>
          <w:u w:color="3B3838"/>
        </w:rPr>
        <w:t>del</w:t>
      </w:r>
      <w:r w:rsidR="001E582E">
        <w:rPr>
          <w:rStyle w:val="NessunoA"/>
          <w:rFonts w:ascii="Arial" w:hAnsi="Arial" w:cs="Arial"/>
          <w:b/>
          <w:bCs/>
          <w:u w:color="3B3838"/>
        </w:rPr>
        <w:t xml:space="preserve"> Centro di Coordinamento </w:t>
      </w:r>
      <w:r w:rsidRPr="00064461">
        <w:rPr>
          <w:rStyle w:val="NessunoA"/>
          <w:rFonts w:ascii="Arial" w:hAnsi="Arial" w:cs="Arial"/>
          <w:b/>
          <w:bCs/>
          <w:u w:color="3B3838"/>
        </w:rPr>
        <w:t xml:space="preserve">hanno gestito complessivamente </w:t>
      </w:r>
      <w:r w:rsidR="001E582E">
        <w:rPr>
          <w:rStyle w:val="NessunoA"/>
          <w:rFonts w:ascii="Arial" w:hAnsi="Arial" w:cs="Arial"/>
          <w:b/>
          <w:bCs/>
          <w:color w:val="3B3838"/>
          <w:u w:color="3B3838"/>
        </w:rPr>
        <w:t>358.138</w:t>
      </w:r>
      <w:r w:rsidRPr="00064461">
        <w:rPr>
          <w:rStyle w:val="NessunoA"/>
          <w:rFonts w:ascii="Arial" w:hAnsi="Arial" w:cs="Arial"/>
          <w:b/>
          <w:bCs/>
          <w:u w:color="3B3838"/>
        </w:rPr>
        <w:t xml:space="preserve"> tonnellate</w:t>
      </w:r>
      <w:r w:rsidRPr="00064461">
        <w:rPr>
          <w:rStyle w:val="NessunoA"/>
          <w:rFonts w:ascii="Arial" w:hAnsi="Arial" w:cs="Arial"/>
          <w:u w:color="3B3838"/>
        </w:rPr>
        <w:t xml:space="preserve"> di </w:t>
      </w:r>
      <w:r w:rsidRPr="00064461">
        <w:rPr>
          <w:rStyle w:val="NessunoA"/>
          <w:rFonts w:ascii="Arial" w:hAnsi="Arial" w:cs="Arial"/>
          <w:b/>
          <w:bCs/>
          <w:u w:color="3B3838"/>
        </w:rPr>
        <w:t>rifiuti elettronici</w:t>
      </w:r>
      <w:r w:rsidRPr="00064461">
        <w:rPr>
          <w:rStyle w:val="NessunoA"/>
          <w:rFonts w:ascii="Arial" w:hAnsi="Arial" w:cs="Arial"/>
          <w:u w:color="3B3838"/>
        </w:rPr>
        <w:t xml:space="preserve">, </w:t>
      </w:r>
      <w:r w:rsidR="00B03EAC">
        <w:rPr>
          <w:rStyle w:val="NessunoA"/>
          <w:rFonts w:ascii="Arial" w:hAnsi="Arial" w:cs="Arial"/>
          <w:u w:color="3B3838"/>
        </w:rPr>
        <w:t>circa 9.000 in più rispetto al 2023</w:t>
      </w:r>
      <w:r w:rsidRPr="00064461">
        <w:rPr>
          <w:rStyle w:val="NessunoA"/>
          <w:rFonts w:ascii="Arial" w:hAnsi="Arial" w:cs="Arial"/>
          <w:u w:color="3B3838"/>
        </w:rPr>
        <w:t xml:space="preserve">. </w:t>
      </w:r>
      <w:r w:rsidR="002B458B">
        <w:rPr>
          <w:rStyle w:val="NessunoA"/>
          <w:rFonts w:ascii="Arial" w:hAnsi="Arial" w:cs="Arial"/>
          <w:u w:color="3B3838"/>
        </w:rPr>
        <w:t>A questo</w:t>
      </w:r>
      <w:r w:rsidR="002B458B" w:rsidRPr="00064461">
        <w:rPr>
          <w:rStyle w:val="NessunoA"/>
          <w:rFonts w:ascii="Arial" w:hAnsi="Arial" w:cs="Arial"/>
          <w:u w:color="3B3838"/>
        </w:rPr>
        <w:t xml:space="preserve"> </w:t>
      </w:r>
      <w:r w:rsidRPr="00064461">
        <w:rPr>
          <w:rStyle w:val="NessunoA"/>
          <w:rFonts w:ascii="Arial" w:hAnsi="Arial" w:cs="Arial"/>
          <w:u w:color="3B3838"/>
        </w:rPr>
        <w:t xml:space="preserve">dato </w:t>
      </w:r>
      <w:r w:rsidR="002B458B">
        <w:rPr>
          <w:rStyle w:val="NessunoA"/>
          <w:rFonts w:ascii="Arial" w:hAnsi="Arial" w:cs="Arial"/>
          <w:u w:color="3B3838"/>
        </w:rPr>
        <w:t>si deve poi aggiungere la</w:t>
      </w:r>
      <w:r w:rsidRPr="00064461">
        <w:rPr>
          <w:rStyle w:val="NessunoA"/>
          <w:rFonts w:ascii="Arial" w:hAnsi="Arial" w:cs="Arial"/>
          <w:u w:color="3B3838"/>
        </w:rPr>
        <w:t xml:space="preserve"> raccolta volontaria effettuata dai singoli consorzi</w:t>
      </w:r>
      <w:r w:rsidR="002B458B">
        <w:rPr>
          <w:rStyle w:val="NessunoA"/>
          <w:rFonts w:ascii="Arial" w:hAnsi="Arial" w:cs="Arial"/>
          <w:u w:color="3B3838"/>
        </w:rPr>
        <w:t xml:space="preserve">, che ammonta a </w:t>
      </w:r>
      <w:r w:rsidR="0058547F" w:rsidRPr="00434552">
        <w:rPr>
          <w:rStyle w:val="NessunoA"/>
          <w:rFonts w:ascii="Arial" w:hAnsi="Arial" w:cs="Arial"/>
          <w:u w:color="3B3838"/>
        </w:rPr>
        <w:t>964</w:t>
      </w:r>
      <w:r w:rsidR="0058547F">
        <w:rPr>
          <w:rStyle w:val="NessunoA"/>
          <w:rFonts w:ascii="Arial" w:hAnsi="Arial" w:cs="Arial"/>
          <w:u w:color="3B3838"/>
        </w:rPr>
        <w:t xml:space="preserve"> </w:t>
      </w:r>
      <w:r w:rsidR="002B458B">
        <w:rPr>
          <w:rStyle w:val="NessunoA"/>
          <w:rFonts w:ascii="Arial" w:hAnsi="Arial" w:cs="Arial"/>
          <w:u w:color="3B3838"/>
        </w:rPr>
        <w:t>ton</w:t>
      </w:r>
      <w:r w:rsidR="00DD5C47">
        <w:rPr>
          <w:rStyle w:val="NessunoA"/>
          <w:rFonts w:ascii="Arial" w:hAnsi="Arial" w:cs="Arial"/>
          <w:u w:color="3B3838"/>
        </w:rPr>
        <w:t>nellate</w:t>
      </w:r>
      <w:r w:rsidRPr="00064461">
        <w:rPr>
          <w:rStyle w:val="NessunoA"/>
          <w:rFonts w:ascii="Arial" w:hAnsi="Arial" w:cs="Arial"/>
          <w:u w:color="3B3838"/>
        </w:rPr>
        <w:t>.</w:t>
      </w:r>
      <w:r w:rsidR="00BA21DC" w:rsidRPr="00064461">
        <w:rPr>
          <w:rStyle w:val="NessunoA"/>
          <w:rFonts w:ascii="Arial" w:hAnsi="Arial" w:cs="Arial"/>
          <w:u w:color="3B3838"/>
        </w:rPr>
        <w:t xml:space="preserve"> </w:t>
      </w:r>
    </w:p>
    <w:p w14:paraId="285DA0C7" w14:textId="067EC068" w:rsidR="003115A7" w:rsidRPr="00E95C82" w:rsidRDefault="00B03EAC" w:rsidP="003115A7">
      <w:pPr>
        <w:jc w:val="both"/>
        <w:rPr>
          <w:rFonts w:ascii="Arial" w:hAnsi="Arial" w:cs="Arial"/>
        </w:rPr>
      </w:pPr>
      <w:r w:rsidRPr="00E95C82">
        <w:rPr>
          <w:rStyle w:val="NessunoA"/>
          <w:rFonts w:ascii="Arial" w:hAnsi="Arial" w:cs="Arial"/>
          <w:u w:color="3B3838"/>
        </w:rPr>
        <w:t xml:space="preserve">Si tratta di un dato positivo che </w:t>
      </w:r>
      <w:r w:rsidR="002E0F0D" w:rsidRPr="00E95C82">
        <w:rPr>
          <w:rStyle w:val="NessunoA"/>
          <w:rFonts w:ascii="Arial" w:hAnsi="Arial" w:cs="Arial"/>
          <w:u w:color="3B3838"/>
        </w:rPr>
        <w:t>riferisce</w:t>
      </w:r>
      <w:r w:rsidRPr="00E95C82">
        <w:rPr>
          <w:rStyle w:val="NessunoA"/>
          <w:rFonts w:ascii="Arial" w:hAnsi="Arial" w:cs="Arial"/>
          <w:u w:color="3B3838"/>
        </w:rPr>
        <w:t xml:space="preserve"> </w:t>
      </w:r>
      <w:r w:rsidR="002E0F0D" w:rsidRPr="00E95C82">
        <w:rPr>
          <w:rStyle w:val="NessunoA"/>
          <w:rFonts w:ascii="Arial" w:hAnsi="Arial" w:cs="Arial"/>
          <w:u w:color="3B3838"/>
        </w:rPr>
        <w:t xml:space="preserve">di una ripresa della crescita </w:t>
      </w:r>
      <w:r w:rsidR="00EC612C">
        <w:rPr>
          <w:rStyle w:val="NessunoA"/>
          <w:rFonts w:ascii="Arial" w:hAnsi="Arial" w:cs="Arial"/>
          <w:u w:color="3B3838"/>
        </w:rPr>
        <w:t>della</w:t>
      </w:r>
      <w:r w:rsidR="00213160">
        <w:rPr>
          <w:rStyle w:val="NessunoA"/>
          <w:rFonts w:ascii="Arial" w:hAnsi="Arial" w:cs="Arial"/>
          <w:u w:color="3B3838"/>
        </w:rPr>
        <w:t xml:space="preserve"> raccolta </w:t>
      </w:r>
      <w:r w:rsidR="002E0F0D" w:rsidRPr="00E95C82">
        <w:rPr>
          <w:rStyle w:val="NessunoA"/>
          <w:rFonts w:ascii="Arial" w:hAnsi="Arial" w:cs="Arial"/>
          <w:u w:color="3B3838"/>
        </w:rPr>
        <w:t xml:space="preserve">dopo la flessione emersa </w:t>
      </w:r>
      <w:r w:rsidR="009E0617">
        <w:rPr>
          <w:rStyle w:val="NessunoA"/>
          <w:rFonts w:ascii="Arial" w:hAnsi="Arial" w:cs="Arial"/>
          <w:u w:color="3B3838"/>
        </w:rPr>
        <w:t>nel biennio precedente</w:t>
      </w:r>
      <w:r w:rsidR="002E0F0D" w:rsidRPr="00E95C82">
        <w:rPr>
          <w:rStyle w:val="NessunoA"/>
          <w:rFonts w:ascii="Arial" w:hAnsi="Arial" w:cs="Arial"/>
          <w:u w:color="3B3838"/>
        </w:rPr>
        <w:t>.</w:t>
      </w:r>
      <w:r w:rsidR="003115A7" w:rsidRPr="00E95C82">
        <w:rPr>
          <w:rStyle w:val="NessunoA"/>
          <w:rFonts w:ascii="Arial" w:hAnsi="Arial" w:cs="Arial"/>
          <w:u w:color="3B3838"/>
        </w:rPr>
        <w:t xml:space="preserve"> L’incremento si lega soprattutto alle buone performance de</w:t>
      </w:r>
      <w:r w:rsidR="005D66B4" w:rsidRPr="00E95C82">
        <w:rPr>
          <w:rStyle w:val="NessunoA"/>
          <w:rFonts w:ascii="Arial" w:hAnsi="Arial" w:cs="Arial"/>
          <w:u w:color="3B3838"/>
        </w:rPr>
        <w:t>i</w:t>
      </w:r>
      <w:r w:rsidR="003115A7" w:rsidRPr="00E95C82">
        <w:rPr>
          <w:rStyle w:val="NessunoA"/>
          <w:rFonts w:ascii="Arial" w:hAnsi="Arial" w:cs="Arial"/>
          <w:u w:color="3B3838"/>
        </w:rPr>
        <w:t xml:space="preserve"> rifiuti di elettronica di consumo e piccoli elettrodomestici (raggruppamento 4)</w:t>
      </w:r>
      <w:r w:rsidR="00EC612C">
        <w:rPr>
          <w:rStyle w:val="NessunoA"/>
          <w:rFonts w:ascii="Arial" w:hAnsi="Arial" w:cs="Arial"/>
          <w:u w:color="3B3838"/>
        </w:rPr>
        <w:t xml:space="preserve"> </w:t>
      </w:r>
      <w:r w:rsidR="003115A7" w:rsidRPr="00E95C82">
        <w:rPr>
          <w:rStyle w:val="NessunoA"/>
          <w:rFonts w:ascii="Arial" w:hAnsi="Arial" w:cs="Arial"/>
          <w:u w:color="3B3838"/>
        </w:rPr>
        <w:t xml:space="preserve">che riescono finalmente a contrastare </w:t>
      </w:r>
      <w:r w:rsidR="003115A7" w:rsidRPr="00E95C82">
        <w:rPr>
          <w:rFonts w:ascii="Arial" w:hAnsi="Arial" w:cs="Arial"/>
        </w:rPr>
        <w:t xml:space="preserve">il </w:t>
      </w:r>
      <w:r w:rsidR="00EC612C">
        <w:rPr>
          <w:rFonts w:ascii="Arial" w:hAnsi="Arial" w:cs="Arial"/>
        </w:rPr>
        <w:t xml:space="preserve">perdurante </w:t>
      </w:r>
      <w:r w:rsidR="003115A7" w:rsidRPr="00E95C82">
        <w:rPr>
          <w:rFonts w:ascii="Arial" w:hAnsi="Arial" w:cs="Arial"/>
        </w:rPr>
        <w:t xml:space="preserve">calo fisiologico </w:t>
      </w:r>
      <w:r w:rsidR="00EC612C">
        <w:rPr>
          <w:rFonts w:ascii="Arial" w:hAnsi="Arial" w:cs="Arial"/>
        </w:rPr>
        <w:t>dei</w:t>
      </w:r>
      <w:r w:rsidR="005D66B4" w:rsidRPr="00E95C82">
        <w:rPr>
          <w:rFonts w:ascii="Arial" w:hAnsi="Arial" w:cs="Arial"/>
        </w:rPr>
        <w:t xml:space="preserve"> volumi</w:t>
      </w:r>
      <w:r w:rsidR="003115A7" w:rsidRPr="00E95C82">
        <w:rPr>
          <w:rFonts w:ascii="Arial" w:hAnsi="Arial" w:cs="Arial"/>
        </w:rPr>
        <w:t xml:space="preserve"> di Tv e monitor</w:t>
      </w:r>
      <w:r w:rsidR="005D66B4" w:rsidRPr="00E95C82">
        <w:rPr>
          <w:rFonts w:ascii="Arial" w:hAnsi="Arial" w:cs="Arial"/>
        </w:rPr>
        <w:t xml:space="preserve"> avviati a riciclo</w:t>
      </w:r>
      <w:r w:rsidR="003115A7" w:rsidRPr="00E95C82">
        <w:rPr>
          <w:rFonts w:ascii="Arial" w:hAnsi="Arial" w:cs="Arial"/>
        </w:rPr>
        <w:t xml:space="preserve"> (raggruppamento 3)</w:t>
      </w:r>
      <w:r w:rsidR="005D66B4" w:rsidRPr="00E95C82">
        <w:rPr>
          <w:rFonts w:ascii="Arial" w:hAnsi="Arial" w:cs="Arial"/>
        </w:rPr>
        <w:t xml:space="preserve"> </w:t>
      </w:r>
      <w:r w:rsidR="003115A7" w:rsidRPr="00E95C82">
        <w:rPr>
          <w:rFonts w:ascii="Arial" w:hAnsi="Arial" w:cs="Arial"/>
        </w:rPr>
        <w:t xml:space="preserve">che </w:t>
      </w:r>
      <w:r w:rsidR="005D66B4" w:rsidRPr="00E95C82">
        <w:rPr>
          <w:rFonts w:ascii="Arial" w:hAnsi="Arial" w:cs="Arial"/>
        </w:rPr>
        <w:t>risentono</w:t>
      </w:r>
      <w:r w:rsidR="003115A7" w:rsidRPr="00E95C82">
        <w:rPr>
          <w:rFonts w:ascii="Arial" w:hAnsi="Arial" w:cs="Arial"/>
        </w:rPr>
        <w:t xml:space="preserve"> ancora </w:t>
      </w:r>
      <w:r w:rsidR="005D66B4" w:rsidRPr="00E95C82">
        <w:rPr>
          <w:rFonts w:ascii="Arial" w:hAnsi="Arial" w:cs="Arial"/>
        </w:rPr>
        <w:t>de</w:t>
      </w:r>
      <w:r w:rsidR="003115A7" w:rsidRPr="00E95C82">
        <w:rPr>
          <w:rFonts w:ascii="Arial" w:hAnsi="Arial" w:cs="Arial"/>
        </w:rPr>
        <w:t xml:space="preserve">gli effetti </w:t>
      </w:r>
      <w:r w:rsidR="005D66B4" w:rsidRPr="00E95C82">
        <w:rPr>
          <w:rFonts w:ascii="Arial" w:hAnsi="Arial" w:cs="Arial"/>
        </w:rPr>
        <w:t>legati al</w:t>
      </w:r>
      <w:r w:rsidR="003115A7" w:rsidRPr="00E95C82">
        <w:rPr>
          <w:rFonts w:ascii="Arial" w:hAnsi="Arial" w:cs="Arial"/>
        </w:rPr>
        <w:t>l’erogazione del Bonus Tv dal 2021.</w:t>
      </w:r>
      <w:r w:rsidR="00213160">
        <w:rPr>
          <w:rFonts w:ascii="Arial" w:hAnsi="Arial" w:cs="Arial"/>
        </w:rPr>
        <w:t xml:space="preserve"> </w:t>
      </w:r>
    </w:p>
    <w:p w14:paraId="72A57CFD" w14:textId="77777777" w:rsidR="002E0F0D" w:rsidRPr="001E582E" w:rsidRDefault="002E0F0D" w:rsidP="00D14D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jc w:val="both"/>
        <w:rPr>
          <w:rStyle w:val="NessunoA"/>
          <w:rFonts w:ascii="Arial" w:hAnsi="Arial" w:cs="Arial"/>
          <w:b/>
          <w:bCs/>
          <w:color w:val="3B3838"/>
          <w:u w:color="3B3838"/>
        </w:rPr>
      </w:pPr>
    </w:p>
    <w:p w14:paraId="372B7822" w14:textId="45656048" w:rsidR="003115A7" w:rsidRDefault="00E0473A" w:rsidP="00D14D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jc w:val="both"/>
        <w:rPr>
          <w:rStyle w:val="NessunoA"/>
          <w:rFonts w:ascii="Arial" w:hAnsi="Arial" w:cs="Arial"/>
          <w:u w:color="3B3838"/>
        </w:rPr>
      </w:pPr>
      <w:r>
        <w:rPr>
          <w:rStyle w:val="NessunoA"/>
          <w:rFonts w:ascii="Arial" w:hAnsi="Arial" w:cs="Arial"/>
          <w:u w:color="3B3838"/>
        </w:rPr>
        <w:t xml:space="preserve">Come </w:t>
      </w:r>
      <w:r w:rsidR="005D66B4">
        <w:rPr>
          <w:rStyle w:val="NessunoA"/>
          <w:rFonts w:ascii="Arial" w:hAnsi="Arial" w:cs="Arial"/>
          <w:u w:color="3B3838"/>
        </w:rPr>
        <w:t xml:space="preserve">conseguenza dei maggiori volumi avviati a riciclo, la </w:t>
      </w:r>
      <w:r w:rsidR="005D66B4" w:rsidRPr="00E95C82">
        <w:rPr>
          <w:rStyle w:val="NessunoA"/>
          <w:rFonts w:ascii="Arial" w:hAnsi="Arial" w:cs="Arial"/>
          <w:b/>
          <w:bCs/>
          <w:u w:color="3B3838"/>
        </w:rPr>
        <w:t xml:space="preserve">raccolta media </w:t>
      </w:r>
      <w:proofErr w:type="gramStart"/>
      <w:r w:rsidR="00E95C82" w:rsidRPr="00E95C82">
        <w:rPr>
          <w:rStyle w:val="NessunoA"/>
          <w:rFonts w:ascii="Arial" w:hAnsi="Arial" w:cs="Arial"/>
          <w:b/>
          <w:bCs/>
          <w:u w:color="3B3838"/>
        </w:rPr>
        <w:t>pro capite</w:t>
      </w:r>
      <w:proofErr w:type="gramEnd"/>
      <w:r w:rsidR="00E95C82">
        <w:rPr>
          <w:rStyle w:val="NessunoA"/>
          <w:rFonts w:ascii="Arial" w:hAnsi="Arial" w:cs="Arial"/>
          <w:u w:color="3B3838"/>
        </w:rPr>
        <w:t xml:space="preserve"> </w:t>
      </w:r>
      <w:r w:rsidR="00E95C82" w:rsidRPr="00E95C82">
        <w:rPr>
          <w:rStyle w:val="NessunoA"/>
          <w:rFonts w:ascii="Arial" w:hAnsi="Arial" w:cs="Arial"/>
          <w:b/>
          <w:bCs/>
          <w:u w:color="3B3838"/>
        </w:rPr>
        <w:t>raggiunge i 6,07 kg per abitante</w:t>
      </w:r>
      <w:r w:rsidR="00E95C82">
        <w:rPr>
          <w:rStyle w:val="NessunoA"/>
          <w:rFonts w:ascii="Arial" w:hAnsi="Arial" w:cs="Arial"/>
          <w:u w:color="3B3838"/>
        </w:rPr>
        <w:t xml:space="preserve"> (+2,5%).</w:t>
      </w:r>
    </w:p>
    <w:p w14:paraId="079E54EA" w14:textId="4D75C54D" w:rsidR="0003488E" w:rsidRDefault="0003488E" w:rsidP="00C05554">
      <w:pPr>
        <w:jc w:val="both"/>
        <w:rPr>
          <w:rStyle w:val="NessunoA"/>
          <w:rFonts w:ascii="Arial" w:hAnsi="Arial" w:cs="Arial"/>
          <w:u w:color="3B3838"/>
        </w:rPr>
      </w:pPr>
    </w:p>
    <w:p w14:paraId="6206E054" w14:textId="14B749E7" w:rsidR="00B96983" w:rsidRPr="0063533E" w:rsidRDefault="00E72450" w:rsidP="00B96983">
      <w:pPr>
        <w:jc w:val="both"/>
        <w:rPr>
          <w:rFonts w:ascii="Arial" w:hAnsi="Arial" w:cs="Arial"/>
          <w:i/>
          <w:iCs/>
          <w:u w:color="3B3838"/>
        </w:rPr>
      </w:pPr>
      <w:r>
        <w:rPr>
          <w:rStyle w:val="NessunoA"/>
          <w:rFonts w:ascii="Arial" w:hAnsi="Arial" w:cs="Arial"/>
          <w:u w:color="3B3838"/>
        </w:rPr>
        <w:t>“</w:t>
      </w:r>
      <w:r w:rsidR="00E95C82">
        <w:rPr>
          <w:rStyle w:val="NessunoA"/>
          <w:rFonts w:ascii="Arial" w:hAnsi="Arial" w:cs="Arial"/>
          <w:i/>
          <w:iCs/>
          <w:u w:color="3B3838"/>
        </w:rPr>
        <w:t>Sebbene ancora lontan</w:t>
      </w:r>
      <w:r w:rsidR="0063533E">
        <w:rPr>
          <w:rStyle w:val="NessunoA"/>
          <w:rFonts w:ascii="Arial" w:hAnsi="Arial" w:cs="Arial"/>
          <w:i/>
          <w:iCs/>
          <w:u w:color="3B3838"/>
        </w:rPr>
        <w:t>o</w:t>
      </w:r>
      <w:r w:rsidR="00E95C82">
        <w:rPr>
          <w:rStyle w:val="NessunoA"/>
          <w:rFonts w:ascii="Arial" w:hAnsi="Arial" w:cs="Arial"/>
          <w:i/>
          <w:iCs/>
          <w:u w:color="3B3838"/>
        </w:rPr>
        <w:t xml:space="preserve"> dagli obiettivi </w:t>
      </w:r>
      <w:r w:rsidR="00213160">
        <w:rPr>
          <w:rStyle w:val="NessunoA"/>
          <w:rFonts w:ascii="Arial" w:hAnsi="Arial" w:cs="Arial"/>
          <w:i/>
          <w:iCs/>
          <w:u w:color="3B3838"/>
        </w:rPr>
        <w:t xml:space="preserve">di raccolta </w:t>
      </w:r>
      <w:r w:rsidR="00E95C82">
        <w:rPr>
          <w:rStyle w:val="NessunoA"/>
          <w:rFonts w:ascii="Arial" w:hAnsi="Arial" w:cs="Arial"/>
          <w:i/>
          <w:iCs/>
          <w:u w:color="3B3838"/>
        </w:rPr>
        <w:t>fissati dall’Unione europea, questo risultato è la conferma, se mai ce ne fosse bisogno, che il sistema ha</w:t>
      </w:r>
      <w:r w:rsidR="00213160">
        <w:rPr>
          <w:rStyle w:val="NessunoA"/>
          <w:rFonts w:ascii="Arial" w:hAnsi="Arial" w:cs="Arial"/>
          <w:i/>
          <w:iCs/>
          <w:u w:color="3B3838"/>
        </w:rPr>
        <w:t xml:space="preserve"> </w:t>
      </w:r>
      <w:r w:rsidR="007A5856">
        <w:rPr>
          <w:rStyle w:val="NessunoA"/>
          <w:rFonts w:ascii="Arial" w:hAnsi="Arial" w:cs="Arial"/>
          <w:i/>
          <w:iCs/>
          <w:u w:color="3B3838"/>
        </w:rPr>
        <w:t>tutte le carte in regola</w:t>
      </w:r>
      <w:r w:rsidR="00213160">
        <w:rPr>
          <w:rStyle w:val="NessunoA"/>
          <w:rFonts w:ascii="Arial" w:hAnsi="Arial" w:cs="Arial"/>
          <w:i/>
          <w:iCs/>
          <w:u w:color="3B3838"/>
        </w:rPr>
        <w:t xml:space="preserve"> e le </w:t>
      </w:r>
      <w:r w:rsidR="0063533E">
        <w:rPr>
          <w:rStyle w:val="NessunoA"/>
          <w:rFonts w:ascii="Arial" w:hAnsi="Arial" w:cs="Arial"/>
          <w:i/>
          <w:iCs/>
          <w:u w:color="3B3838"/>
        </w:rPr>
        <w:t xml:space="preserve">risorse per contrastare dinamiche fisiologiche </w:t>
      </w:r>
      <w:r w:rsidR="00213160">
        <w:rPr>
          <w:rStyle w:val="NessunoA"/>
          <w:rFonts w:ascii="Arial" w:hAnsi="Arial" w:cs="Arial"/>
          <w:i/>
          <w:iCs/>
          <w:u w:color="3B3838"/>
        </w:rPr>
        <w:t>e</w:t>
      </w:r>
      <w:r w:rsidR="0063533E">
        <w:rPr>
          <w:rStyle w:val="NessunoA"/>
          <w:rFonts w:ascii="Arial" w:hAnsi="Arial" w:cs="Arial"/>
          <w:i/>
          <w:iCs/>
          <w:u w:color="3B3838"/>
        </w:rPr>
        <w:t xml:space="preserve"> per continuare a migliorare le proprie performance di raccolta</w:t>
      </w:r>
      <w:r w:rsidR="0088049C" w:rsidRPr="00CA7584">
        <w:rPr>
          <w:rStyle w:val="NessunoA"/>
          <w:rFonts w:ascii="Arial" w:hAnsi="Arial" w:cs="Arial"/>
          <w:i/>
          <w:iCs/>
          <w:u w:color="3B3838"/>
        </w:rPr>
        <w:t>”</w:t>
      </w:r>
      <w:r w:rsidR="00FD5929" w:rsidRPr="00CA7584">
        <w:rPr>
          <w:rStyle w:val="NessunoA"/>
          <w:rFonts w:ascii="Arial" w:hAnsi="Arial" w:cs="Arial"/>
          <w:i/>
          <w:iCs/>
          <w:u w:color="3B3838"/>
        </w:rPr>
        <w:t xml:space="preserve"> </w:t>
      </w:r>
      <w:r w:rsidR="0088049C" w:rsidRPr="00CA7584">
        <w:rPr>
          <w:rStyle w:val="NessunoA"/>
          <w:rFonts w:ascii="Arial" w:hAnsi="Arial" w:cs="Arial"/>
          <w:u w:color="3B3838"/>
        </w:rPr>
        <w:t xml:space="preserve">commenta </w:t>
      </w:r>
      <w:r w:rsidR="00E95C82">
        <w:rPr>
          <w:rStyle w:val="NessunoA"/>
          <w:rFonts w:ascii="Arial" w:hAnsi="Arial" w:cs="Arial"/>
          <w:b/>
          <w:bCs/>
          <w:u w:color="3B3838"/>
        </w:rPr>
        <w:t>Giuliano Maddalena</w:t>
      </w:r>
      <w:r w:rsidR="0088049C" w:rsidRPr="00CA7584">
        <w:rPr>
          <w:rStyle w:val="NessunoA"/>
          <w:rFonts w:ascii="Arial" w:hAnsi="Arial" w:cs="Arial"/>
          <w:b/>
          <w:bCs/>
          <w:u w:color="3B3838"/>
        </w:rPr>
        <w:t>, presidente del Centro di Coordinamento RAEE</w:t>
      </w:r>
      <w:r w:rsidR="0088049C" w:rsidRPr="00CA7584">
        <w:rPr>
          <w:rStyle w:val="NessunoA"/>
          <w:rFonts w:ascii="Arial" w:hAnsi="Arial" w:cs="Arial"/>
          <w:u w:color="3B3838"/>
        </w:rPr>
        <w:t xml:space="preserve">. </w:t>
      </w:r>
      <w:r w:rsidR="00CA7584">
        <w:rPr>
          <w:rStyle w:val="NessunoA"/>
          <w:rFonts w:ascii="Arial" w:hAnsi="Arial" w:cs="Arial"/>
          <w:i/>
          <w:iCs/>
          <w:u w:color="3B3838"/>
        </w:rPr>
        <w:t>“</w:t>
      </w:r>
      <w:r w:rsidR="0063533E">
        <w:rPr>
          <w:rStyle w:val="NessunoA"/>
          <w:rFonts w:ascii="Arial" w:hAnsi="Arial" w:cs="Arial"/>
          <w:i/>
          <w:iCs/>
          <w:u w:color="3B3838"/>
        </w:rPr>
        <w:t xml:space="preserve">Gli ottimi risultati </w:t>
      </w:r>
      <w:r w:rsidR="00213160">
        <w:rPr>
          <w:rStyle w:val="NessunoA"/>
          <w:rFonts w:ascii="Arial" w:hAnsi="Arial" w:cs="Arial"/>
          <w:i/>
          <w:iCs/>
          <w:u w:color="3B3838"/>
        </w:rPr>
        <w:t>registrati dai</w:t>
      </w:r>
      <w:r w:rsidR="00CC2E83" w:rsidRPr="00495995">
        <w:rPr>
          <w:rFonts w:ascii="Arial" w:hAnsi="Arial" w:cs="Arial"/>
          <w:i/>
          <w:iCs/>
          <w:color w:val="000000"/>
        </w:rPr>
        <w:t xml:space="preserve"> piccoli RAEE </w:t>
      </w:r>
      <w:r w:rsidR="0063533E">
        <w:rPr>
          <w:rFonts w:ascii="Arial" w:hAnsi="Arial" w:cs="Arial"/>
          <w:i/>
          <w:iCs/>
          <w:color w:val="000000"/>
        </w:rPr>
        <w:t>sono infatti la dimostrazione del</w:t>
      </w:r>
      <w:r w:rsidR="00CC2E83" w:rsidRPr="00495995">
        <w:rPr>
          <w:rFonts w:ascii="Arial" w:hAnsi="Arial" w:cs="Arial"/>
          <w:i/>
          <w:iCs/>
          <w:color w:val="000000"/>
        </w:rPr>
        <w:t>l'efficacia delle attività di microraccolta e comunicazion</w:t>
      </w:r>
      <w:r w:rsidR="00213160">
        <w:rPr>
          <w:rFonts w:ascii="Arial" w:hAnsi="Arial" w:cs="Arial"/>
          <w:i/>
          <w:iCs/>
          <w:color w:val="000000"/>
        </w:rPr>
        <w:t>e c</w:t>
      </w:r>
      <w:r w:rsidR="0063533E">
        <w:rPr>
          <w:rFonts w:ascii="Arial" w:hAnsi="Arial" w:cs="Arial"/>
          <w:i/>
          <w:iCs/>
          <w:color w:val="000000"/>
        </w:rPr>
        <w:t>he vede impegnati</w:t>
      </w:r>
      <w:r w:rsidR="00B96983">
        <w:rPr>
          <w:rFonts w:ascii="Arial" w:hAnsi="Arial" w:cs="Arial"/>
          <w:i/>
          <w:iCs/>
          <w:color w:val="000000"/>
        </w:rPr>
        <w:t xml:space="preserve"> ormai da diversi anni</w:t>
      </w:r>
      <w:r w:rsidR="00772C43">
        <w:rPr>
          <w:rFonts w:ascii="Arial" w:hAnsi="Arial" w:cs="Arial"/>
          <w:i/>
          <w:iCs/>
          <w:color w:val="000000"/>
        </w:rPr>
        <w:t xml:space="preserve"> in modo diretto e indiretto</w:t>
      </w:r>
      <w:r w:rsidR="00B96983">
        <w:rPr>
          <w:rFonts w:ascii="Arial" w:hAnsi="Arial" w:cs="Arial"/>
          <w:i/>
          <w:iCs/>
          <w:color w:val="000000"/>
        </w:rPr>
        <w:t xml:space="preserve"> i produttori di AEE e i loro sistemi </w:t>
      </w:r>
      <w:r w:rsidR="00B96983">
        <w:rPr>
          <w:rFonts w:ascii="Arial" w:hAnsi="Arial" w:cs="Arial"/>
          <w:i/>
          <w:iCs/>
          <w:color w:val="000000"/>
        </w:rPr>
        <w:lastRenderedPageBreak/>
        <w:t xml:space="preserve">collettivi tramite l’erogazione di contributi economici previsti negli Accordi di programma. </w:t>
      </w:r>
      <w:r w:rsidR="00004127">
        <w:rPr>
          <w:rFonts w:ascii="Arial" w:hAnsi="Arial" w:cs="Arial"/>
          <w:i/>
          <w:iCs/>
          <w:color w:val="000000"/>
        </w:rPr>
        <w:t>Investimenti</w:t>
      </w:r>
      <w:r w:rsidR="00213160">
        <w:rPr>
          <w:rFonts w:ascii="Arial" w:hAnsi="Arial" w:cs="Arial"/>
          <w:i/>
          <w:iCs/>
          <w:color w:val="000000"/>
        </w:rPr>
        <w:t xml:space="preserve"> che sono stati </w:t>
      </w:r>
      <w:r w:rsidR="00434552">
        <w:rPr>
          <w:rFonts w:ascii="Arial" w:hAnsi="Arial" w:cs="Arial"/>
          <w:i/>
          <w:iCs/>
          <w:color w:val="000000"/>
        </w:rPr>
        <w:t>stanziati</w:t>
      </w:r>
      <w:r w:rsidR="00213160">
        <w:rPr>
          <w:rFonts w:ascii="Arial" w:hAnsi="Arial" w:cs="Arial"/>
          <w:i/>
          <w:iCs/>
          <w:color w:val="000000"/>
        </w:rPr>
        <w:t xml:space="preserve"> anche nel corso del 2024</w:t>
      </w:r>
      <w:r w:rsidR="001E2AAC">
        <w:rPr>
          <w:rFonts w:ascii="Arial" w:hAnsi="Arial" w:cs="Arial"/>
          <w:i/>
          <w:iCs/>
          <w:color w:val="000000"/>
        </w:rPr>
        <w:t xml:space="preserve">, </w:t>
      </w:r>
      <w:r w:rsidR="00BB082D">
        <w:rPr>
          <w:rFonts w:ascii="Arial" w:hAnsi="Arial" w:cs="Arial"/>
          <w:i/>
          <w:iCs/>
          <w:color w:val="000000"/>
        </w:rPr>
        <w:t xml:space="preserve">a cui si aggiungono </w:t>
      </w:r>
      <w:r w:rsidR="00B96983" w:rsidRPr="00495995">
        <w:rPr>
          <w:rFonts w:ascii="Arial" w:hAnsi="Arial" w:cs="Arial"/>
          <w:i/>
          <w:iCs/>
          <w:color w:val="000000"/>
        </w:rPr>
        <w:t>finanziamenti mirati all'efficientamento del sistema destinati ai Comuni</w:t>
      </w:r>
      <w:r w:rsidR="00004127">
        <w:rPr>
          <w:rFonts w:ascii="Arial" w:hAnsi="Arial" w:cs="Arial"/>
          <w:i/>
          <w:iCs/>
          <w:color w:val="000000"/>
        </w:rPr>
        <w:t xml:space="preserve"> </w:t>
      </w:r>
      <w:r w:rsidR="00213160">
        <w:rPr>
          <w:rFonts w:ascii="Arial" w:hAnsi="Arial" w:cs="Arial"/>
          <w:i/>
          <w:iCs/>
          <w:color w:val="000000"/>
        </w:rPr>
        <w:t xml:space="preserve">per un totale </w:t>
      </w:r>
      <w:r w:rsidR="00BB082D">
        <w:rPr>
          <w:rFonts w:ascii="Arial" w:hAnsi="Arial" w:cs="Arial"/>
          <w:i/>
          <w:iCs/>
          <w:color w:val="000000"/>
        </w:rPr>
        <w:t xml:space="preserve">complessivo </w:t>
      </w:r>
      <w:r w:rsidR="00213160">
        <w:rPr>
          <w:rFonts w:ascii="Arial" w:hAnsi="Arial" w:cs="Arial"/>
          <w:i/>
          <w:iCs/>
          <w:color w:val="000000"/>
        </w:rPr>
        <w:t xml:space="preserve">di </w:t>
      </w:r>
      <w:r w:rsidR="00B96983" w:rsidRPr="00495995">
        <w:rPr>
          <w:rFonts w:ascii="Arial" w:hAnsi="Arial" w:cs="Arial"/>
          <w:i/>
          <w:iCs/>
          <w:color w:val="000000"/>
        </w:rPr>
        <w:t xml:space="preserve">oltre </w:t>
      </w:r>
      <w:r w:rsidR="0014282A" w:rsidRPr="00495995">
        <w:rPr>
          <w:rFonts w:ascii="Arial" w:hAnsi="Arial" w:cs="Arial"/>
          <w:i/>
          <w:iCs/>
          <w:color w:val="000000"/>
        </w:rPr>
        <w:t>2</w:t>
      </w:r>
      <w:r w:rsidR="0014282A">
        <w:rPr>
          <w:rFonts w:ascii="Arial" w:hAnsi="Arial" w:cs="Arial"/>
          <w:i/>
          <w:iCs/>
          <w:color w:val="000000"/>
        </w:rPr>
        <w:t>9</w:t>
      </w:r>
      <w:r w:rsidR="0014282A" w:rsidRPr="00495995">
        <w:rPr>
          <w:rFonts w:ascii="Arial" w:hAnsi="Arial" w:cs="Arial"/>
          <w:i/>
          <w:iCs/>
          <w:color w:val="000000"/>
        </w:rPr>
        <w:t xml:space="preserve"> </w:t>
      </w:r>
      <w:r w:rsidR="00B96983" w:rsidRPr="00495995">
        <w:rPr>
          <w:rFonts w:ascii="Arial" w:hAnsi="Arial" w:cs="Arial"/>
          <w:i/>
          <w:iCs/>
          <w:color w:val="000000"/>
        </w:rPr>
        <w:t>milioni di euro</w:t>
      </w:r>
      <w:r w:rsidR="00B96983">
        <w:rPr>
          <w:rFonts w:ascii="Arial" w:hAnsi="Arial" w:cs="Arial"/>
          <w:i/>
          <w:iCs/>
          <w:color w:val="000000"/>
        </w:rPr>
        <w:t>”</w:t>
      </w:r>
      <w:r w:rsidR="00B96983" w:rsidRPr="00495995">
        <w:rPr>
          <w:rFonts w:ascii="Arial" w:hAnsi="Arial" w:cs="Arial"/>
          <w:i/>
          <w:iCs/>
          <w:color w:val="000000"/>
        </w:rPr>
        <w:t>.</w:t>
      </w:r>
      <w:r w:rsidR="00B96983">
        <w:rPr>
          <w:rFonts w:ascii="Arial" w:hAnsi="Arial" w:cs="Arial"/>
          <w:i/>
          <w:iCs/>
          <w:color w:val="000000"/>
        </w:rPr>
        <w:t xml:space="preserve"> </w:t>
      </w:r>
    </w:p>
    <w:p w14:paraId="27691CB3" w14:textId="3CD8F059" w:rsidR="00B96983" w:rsidRDefault="00B96983" w:rsidP="00CC2E83">
      <w:pPr>
        <w:jc w:val="both"/>
        <w:rPr>
          <w:rFonts w:ascii="Arial" w:hAnsi="Arial" w:cs="Arial"/>
          <w:i/>
          <w:iCs/>
          <w:color w:val="000000"/>
        </w:rPr>
      </w:pPr>
    </w:p>
    <w:p w14:paraId="5E246232" w14:textId="78EBC88D" w:rsidR="00CD7805" w:rsidRDefault="00D0206A" w:rsidP="00091F66">
      <w:pPr>
        <w:jc w:val="both"/>
        <w:rPr>
          <w:rFonts w:ascii="Arial" w:hAnsi="Arial" w:cs="Arial"/>
          <w:i/>
          <w:iCs/>
          <w:color w:val="000000"/>
        </w:rPr>
      </w:pPr>
      <w:r w:rsidRPr="00091F66">
        <w:rPr>
          <w:rFonts w:ascii="Arial" w:hAnsi="Arial" w:cs="Arial"/>
          <w:i/>
          <w:iCs/>
          <w:color w:val="000000"/>
        </w:rPr>
        <w:t>“</w:t>
      </w:r>
      <w:r w:rsidR="00CD7805">
        <w:rPr>
          <w:rFonts w:ascii="Arial" w:hAnsi="Arial" w:cs="Arial"/>
          <w:i/>
          <w:iCs/>
          <w:color w:val="000000"/>
        </w:rPr>
        <w:t xml:space="preserve">Altrettanto essenziali </w:t>
      </w:r>
      <w:r w:rsidR="00425A01">
        <w:rPr>
          <w:rFonts w:ascii="Arial" w:hAnsi="Arial" w:cs="Arial"/>
          <w:i/>
          <w:iCs/>
          <w:color w:val="000000"/>
        </w:rPr>
        <w:t xml:space="preserve">al conseguimento di questi risultati </w:t>
      </w:r>
      <w:r w:rsidR="00CD7805">
        <w:rPr>
          <w:rFonts w:ascii="Arial" w:hAnsi="Arial" w:cs="Arial"/>
          <w:i/>
          <w:iCs/>
          <w:color w:val="000000"/>
        </w:rPr>
        <w:t xml:space="preserve">sono state le molteplici attività e iniziative in termini di comunicazione e sensibilizzazione ambientale, di promozione di nuove relazioni con </w:t>
      </w:r>
      <w:r w:rsidR="00425A01">
        <w:rPr>
          <w:rFonts w:ascii="Arial" w:hAnsi="Arial" w:cs="Arial"/>
          <w:i/>
          <w:iCs/>
          <w:color w:val="000000"/>
        </w:rPr>
        <w:t>enti</w:t>
      </w:r>
      <w:r w:rsidR="00CD7805">
        <w:rPr>
          <w:rFonts w:ascii="Arial" w:hAnsi="Arial" w:cs="Arial"/>
          <w:i/>
          <w:iCs/>
          <w:color w:val="000000"/>
        </w:rPr>
        <w:t xml:space="preserve"> pubblic</w:t>
      </w:r>
      <w:r w:rsidR="00425A01">
        <w:rPr>
          <w:rFonts w:ascii="Arial" w:hAnsi="Arial" w:cs="Arial"/>
          <w:i/>
          <w:iCs/>
          <w:color w:val="000000"/>
        </w:rPr>
        <w:t>i</w:t>
      </w:r>
      <w:r w:rsidR="00CD7805">
        <w:rPr>
          <w:rFonts w:ascii="Arial" w:hAnsi="Arial" w:cs="Arial"/>
          <w:i/>
          <w:iCs/>
          <w:color w:val="000000"/>
        </w:rPr>
        <w:t xml:space="preserve"> e priva</w:t>
      </w:r>
      <w:r w:rsidR="00425A01">
        <w:rPr>
          <w:rFonts w:ascii="Arial" w:hAnsi="Arial" w:cs="Arial"/>
          <w:i/>
          <w:iCs/>
          <w:color w:val="000000"/>
        </w:rPr>
        <w:t>ti</w:t>
      </w:r>
      <w:r w:rsidR="00CD7805">
        <w:rPr>
          <w:rFonts w:ascii="Arial" w:hAnsi="Arial" w:cs="Arial"/>
          <w:i/>
          <w:iCs/>
          <w:color w:val="000000"/>
        </w:rPr>
        <w:t xml:space="preserve">, </w:t>
      </w:r>
      <w:r w:rsidR="00425A01">
        <w:rPr>
          <w:rFonts w:ascii="Arial" w:hAnsi="Arial" w:cs="Arial"/>
          <w:i/>
          <w:iCs/>
          <w:color w:val="000000"/>
        </w:rPr>
        <w:t xml:space="preserve">realtà </w:t>
      </w:r>
      <w:r w:rsidR="00CD7805">
        <w:rPr>
          <w:rFonts w:ascii="Arial" w:hAnsi="Arial" w:cs="Arial"/>
          <w:i/>
          <w:iCs/>
          <w:color w:val="000000"/>
        </w:rPr>
        <w:t xml:space="preserve">istituzionali e </w:t>
      </w:r>
      <w:r w:rsidR="00425A01">
        <w:rPr>
          <w:rFonts w:ascii="Arial" w:hAnsi="Arial" w:cs="Arial"/>
          <w:i/>
          <w:iCs/>
          <w:color w:val="000000"/>
        </w:rPr>
        <w:t>associative</w:t>
      </w:r>
      <w:r w:rsidR="00CD7805">
        <w:rPr>
          <w:rFonts w:ascii="Arial" w:hAnsi="Arial" w:cs="Arial"/>
          <w:i/>
          <w:iCs/>
          <w:color w:val="000000"/>
        </w:rPr>
        <w:t xml:space="preserve"> che si trovano a gestire grandi quantitativi di RAEE domestici nell’ambito della propria mansione che ha</w:t>
      </w:r>
      <w:r w:rsidR="00425A01">
        <w:rPr>
          <w:rFonts w:ascii="Arial" w:hAnsi="Arial" w:cs="Arial"/>
          <w:i/>
          <w:iCs/>
          <w:color w:val="000000"/>
        </w:rPr>
        <w:t>nno</w:t>
      </w:r>
      <w:r w:rsidR="00CD7805">
        <w:rPr>
          <w:rFonts w:ascii="Arial" w:hAnsi="Arial" w:cs="Arial"/>
          <w:i/>
          <w:iCs/>
          <w:color w:val="000000"/>
        </w:rPr>
        <w:t xml:space="preserve"> </w:t>
      </w:r>
      <w:r w:rsidR="00425A01">
        <w:rPr>
          <w:rFonts w:ascii="Arial" w:hAnsi="Arial" w:cs="Arial"/>
          <w:i/>
          <w:iCs/>
          <w:color w:val="000000"/>
        </w:rPr>
        <w:t>impegnato in prima persona il</w:t>
      </w:r>
      <w:r w:rsidR="00CD7805">
        <w:rPr>
          <w:rFonts w:ascii="Arial" w:hAnsi="Arial" w:cs="Arial"/>
          <w:i/>
          <w:iCs/>
          <w:color w:val="000000"/>
        </w:rPr>
        <w:t xml:space="preserve"> Centro di Coordinamento</w:t>
      </w:r>
      <w:r w:rsidR="00425A01">
        <w:rPr>
          <w:rFonts w:ascii="Arial" w:hAnsi="Arial" w:cs="Arial"/>
          <w:i/>
          <w:iCs/>
          <w:color w:val="000000"/>
        </w:rPr>
        <w:t xml:space="preserve"> nell’ambito di un piano di azione strategico chiaro e dinamico che proseguirà </w:t>
      </w:r>
      <w:r w:rsidR="00434552">
        <w:rPr>
          <w:rFonts w:ascii="Arial" w:hAnsi="Arial" w:cs="Arial"/>
          <w:i/>
          <w:iCs/>
          <w:color w:val="000000"/>
        </w:rPr>
        <w:t xml:space="preserve">anche </w:t>
      </w:r>
      <w:r w:rsidR="00425A01">
        <w:rPr>
          <w:rFonts w:ascii="Arial" w:hAnsi="Arial" w:cs="Arial"/>
          <w:i/>
          <w:iCs/>
          <w:color w:val="000000"/>
        </w:rPr>
        <w:t>per tutto il 2025</w:t>
      </w:r>
      <w:r w:rsidR="007A5856">
        <w:rPr>
          <w:rFonts w:ascii="Arial" w:hAnsi="Arial" w:cs="Arial"/>
          <w:i/>
          <w:iCs/>
          <w:color w:val="000000"/>
        </w:rPr>
        <w:t>”</w:t>
      </w:r>
      <w:r w:rsidR="00425A01">
        <w:rPr>
          <w:rFonts w:ascii="Arial" w:hAnsi="Arial" w:cs="Arial"/>
          <w:i/>
          <w:iCs/>
          <w:color w:val="000000"/>
        </w:rPr>
        <w:t xml:space="preserve">. </w:t>
      </w:r>
    </w:p>
    <w:p w14:paraId="1EADE1A2" w14:textId="77777777" w:rsidR="007A5856" w:rsidRDefault="007A5856" w:rsidP="00091F66">
      <w:pPr>
        <w:jc w:val="both"/>
        <w:rPr>
          <w:rFonts w:ascii="Arial" w:hAnsi="Arial" w:cs="Arial"/>
          <w:i/>
          <w:iCs/>
          <w:color w:val="000000"/>
        </w:rPr>
      </w:pPr>
    </w:p>
    <w:p w14:paraId="7E4521C7" w14:textId="31B75F70" w:rsidR="00772C43" w:rsidRDefault="007A5856" w:rsidP="00CC2E83">
      <w:pPr>
        <w:jc w:val="both"/>
        <w:rPr>
          <w:rFonts w:ascii="Arial" w:hAnsi="Arial" w:cs="Arial"/>
          <w:i/>
          <w:iCs/>
          <w:color w:val="000000"/>
        </w:rPr>
      </w:pPr>
      <w:r w:rsidRPr="00F13524">
        <w:rPr>
          <w:rFonts w:ascii="Arial" w:hAnsi="Arial" w:cs="Arial"/>
          <w:i/>
          <w:iCs/>
          <w:color w:val="000000"/>
        </w:rPr>
        <w:t xml:space="preserve">“Un impegno </w:t>
      </w:r>
      <w:r w:rsidR="00F13524">
        <w:rPr>
          <w:rFonts w:ascii="Arial" w:hAnsi="Arial" w:cs="Arial"/>
          <w:i/>
          <w:iCs/>
          <w:color w:val="000000"/>
        </w:rPr>
        <w:t>che</w:t>
      </w:r>
      <w:r w:rsidRPr="00F13524">
        <w:rPr>
          <w:rFonts w:ascii="Arial" w:hAnsi="Arial" w:cs="Arial"/>
          <w:i/>
          <w:iCs/>
          <w:color w:val="000000"/>
        </w:rPr>
        <w:t xml:space="preserve"> ora si affianca</w:t>
      </w:r>
      <w:r w:rsidR="00F13524" w:rsidRPr="00F13524">
        <w:rPr>
          <w:rFonts w:ascii="Arial" w:hAnsi="Arial" w:cs="Arial"/>
          <w:i/>
          <w:iCs/>
          <w:color w:val="000000"/>
        </w:rPr>
        <w:t xml:space="preserve"> a</w:t>
      </w:r>
      <w:r w:rsidRPr="00F13524">
        <w:rPr>
          <w:rFonts w:ascii="Arial" w:hAnsi="Arial" w:cs="Arial"/>
          <w:i/>
          <w:iCs/>
          <w:color w:val="000000"/>
        </w:rPr>
        <w:t xml:space="preserve"> un ruolo </w:t>
      </w:r>
      <w:r w:rsidRPr="00F13524">
        <w:rPr>
          <w:rFonts w:ascii="Arial" w:hAnsi="Arial" w:cs="Arial"/>
          <w:i/>
          <w:iCs/>
        </w:rPr>
        <w:t xml:space="preserve">sempre più centrale </w:t>
      </w:r>
      <w:r w:rsidRPr="00F13524">
        <w:rPr>
          <w:rFonts w:ascii="Arial" w:hAnsi="Arial" w:cs="Arial"/>
          <w:i/>
          <w:iCs/>
          <w:color w:val="000000"/>
        </w:rPr>
        <w:t>che il legislatore ha recentemente attribuito al Centro di Coordinamento in qualità di interlocutore diretto con tutti gli operatori della distribuzione, sia fisici sia online, che vendono AEE a seguito delle importanti semplificazioni normative introdotte recentemente in materia di gestione dei RAEE</w:t>
      </w:r>
      <w:r w:rsidR="00F13524">
        <w:rPr>
          <w:rFonts w:ascii="Arial" w:hAnsi="Arial" w:cs="Arial"/>
          <w:i/>
          <w:iCs/>
          <w:color w:val="000000"/>
        </w:rPr>
        <w:t>. Condizioni</w:t>
      </w:r>
      <w:r w:rsidRPr="00F13524">
        <w:rPr>
          <w:rFonts w:ascii="Arial" w:hAnsi="Arial" w:cs="Arial"/>
          <w:i/>
          <w:iCs/>
          <w:color w:val="000000"/>
        </w:rPr>
        <w:t xml:space="preserve"> che pongono le premesse per </w:t>
      </w:r>
      <w:r w:rsidRPr="00F13524">
        <w:rPr>
          <w:rFonts w:ascii="Arial" w:hAnsi="Arial" w:cs="Arial"/>
          <w:i/>
          <w:iCs/>
        </w:rPr>
        <w:t>avvicinare con maggiore celerità l’Italia agli obiettivi previsti dall’Unione europea</w:t>
      </w:r>
      <w:r w:rsidR="00F13524">
        <w:rPr>
          <w:rFonts w:ascii="Arial" w:hAnsi="Arial" w:cs="Arial"/>
          <w:i/>
          <w:iCs/>
        </w:rPr>
        <w:t xml:space="preserve">” </w:t>
      </w:r>
      <w:r w:rsidR="00F13524" w:rsidRPr="00F13524">
        <w:rPr>
          <w:rFonts w:ascii="Arial" w:hAnsi="Arial" w:cs="Arial"/>
        </w:rPr>
        <w:t>termina</w:t>
      </w:r>
      <w:r w:rsidR="00F13524">
        <w:rPr>
          <w:rFonts w:ascii="Arial" w:hAnsi="Arial" w:cs="Arial"/>
          <w:i/>
          <w:iCs/>
        </w:rPr>
        <w:t xml:space="preserve"> </w:t>
      </w:r>
      <w:r w:rsidR="00F13524" w:rsidRPr="00064461">
        <w:rPr>
          <w:rFonts w:ascii="Arial" w:hAnsi="Arial" w:cs="Arial"/>
        </w:rPr>
        <w:t>il presidente del Centro di Coordinamento RAEE</w:t>
      </w:r>
      <w:r w:rsidR="00F13524">
        <w:rPr>
          <w:rFonts w:ascii="Arial" w:hAnsi="Arial" w:cs="Arial"/>
        </w:rPr>
        <w:t>.</w:t>
      </w:r>
    </w:p>
    <w:p w14:paraId="2507E97C" w14:textId="77777777" w:rsidR="00F13524" w:rsidRPr="00F13524" w:rsidRDefault="00F13524" w:rsidP="00CC2E83">
      <w:pPr>
        <w:jc w:val="both"/>
        <w:rPr>
          <w:rFonts w:ascii="Arial" w:hAnsi="Arial" w:cs="Arial"/>
          <w:color w:val="000000"/>
        </w:rPr>
      </w:pPr>
    </w:p>
    <w:p w14:paraId="2CB2469F" w14:textId="49ED017A" w:rsidR="00772C43" w:rsidRPr="00064461" w:rsidRDefault="00772C43" w:rsidP="00BA21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jc w:val="both"/>
        <w:outlineLvl w:val="0"/>
        <w:rPr>
          <w:rStyle w:val="NessunoA"/>
          <w:rFonts w:ascii="Arial" w:hAnsi="Arial" w:cs="Arial"/>
          <w:b/>
          <w:bCs/>
          <w:u w:color="3B3838"/>
          <w:shd w:val="clear" w:color="auto" w:fill="FFFFFF"/>
        </w:rPr>
      </w:pPr>
      <w:r w:rsidRPr="00772C43">
        <w:rPr>
          <w:rStyle w:val="NessunoA"/>
          <w:rFonts w:ascii="Arial" w:hAnsi="Arial" w:cs="Arial"/>
          <w:b/>
          <w:bCs/>
          <w:u w:color="3B3838"/>
        </w:rPr>
        <w:t>Risultati</w:t>
      </w:r>
      <w:r w:rsidR="00BA21DC" w:rsidRPr="00064461">
        <w:rPr>
          <w:rStyle w:val="NessunoA"/>
          <w:rFonts w:ascii="Arial" w:hAnsi="Arial" w:cs="Arial"/>
          <w:b/>
          <w:bCs/>
          <w:u w:color="3B3838"/>
          <w:shd w:val="clear" w:color="auto" w:fill="FFFFFF"/>
        </w:rPr>
        <w:t xml:space="preserve"> raccolta per </w:t>
      </w:r>
      <w:r>
        <w:rPr>
          <w:rStyle w:val="NessunoA"/>
          <w:rFonts w:ascii="Arial" w:hAnsi="Arial" w:cs="Arial"/>
          <w:b/>
          <w:bCs/>
          <w:u w:color="3B3838"/>
          <w:shd w:val="clear" w:color="auto" w:fill="FFFFFF"/>
        </w:rPr>
        <w:t xml:space="preserve">singoli </w:t>
      </w:r>
      <w:r w:rsidR="00BA21DC" w:rsidRPr="00064461">
        <w:rPr>
          <w:rStyle w:val="NessunoA"/>
          <w:rFonts w:ascii="Arial" w:hAnsi="Arial" w:cs="Arial"/>
          <w:b/>
          <w:bCs/>
          <w:u w:color="3B3838"/>
          <w:shd w:val="clear" w:color="auto" w:fill="FFFFFF"/>
        </w:rPr>
        <w:t>raggruppament</w:t>
      </w:r>
      <w:r>
        <w:rPr>
          <w:rStyle w:val="NessunoA"/>
          <w:rFonts w:ascii="Arial" w:hAnsi="Arial" w:cs="Arial"/>
          <w:b/>
          <w:bCs/>
          <w:u w:color="3B3838"/>
          <w:shd w:val="clear" w:color="auto" w:fill="FFFFFF"/>
        </w:rPr>
        <w:t>i</w:t>
      </w:r>
    </w:p>
    <w:p w14:paraId="631687F9" w14:textId="1F1A5099" w:rsidR="00772C43" w:rsidRDefault="00176626" w:rsidP="00BA21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jc w:val="both"/>
        <w:outlineLvl w:val="0"/>
        <w:rPr>
          <w:rFonts w:ascii="Arial" w:hAnsi="Arial" w:cs="Arial"/>
        </w:rPr>
      </w:pPr>
      <w:r w:rsidRPr="00064461">
        <w:rPr>
          <w:rStyle w:val="NessunoA"/>
          <w:rFonts w:ascii="Arial" w:hAnsi="Arial" w:cs="Arial"/>
          <w:u w:color="3B3838"/>
          <w:shd w:val="clear" w:color="auto" w:fill="FFFFFF"/>
        </w:rPr>
        <w:t xml:space="preserve">Come </w:t>
      </w:r>
      <w:r w:rsidR="00772C43">
        <w:rPr>
          <w:rStyle w:val="NessunoA"/>
          <w:rFonts w:ascii="Arial" w:hAnsi="Arial" w:cs="Arial"/>
          <w:u w:color="3B3838"/>
          <w:shd w:val="clear" w:color="auto" w:fill="FFFFFF"/>
        </w:rPr>
        <w:t xml:space="preserve">già evidenziato, i RAEE di </w:t>
      </w:r>
      <w:r w:rsidR="00772C43" w:rsidRPr="00064461">
        <w:rPr>
          <w:rFonts w:ascii="Arial" w:hAnsi="Arial" w:cs="Arial"/>
          <w:b/>
          <w:bCs/>
        </w:rPr>
        <w:t>R4</w:t>
      </w:r>
      <w:r w:rsidR="00772C43">
        <w:rPr>
          <w:rFonts w:ascii="Arial" w:hAnsi="Arial" w:cs="Arial"/>
          <w:b/>
          <w:bCs/>
        </w:rPr>
        <w:t xml:space="preserve"> -</w:t>
      </w:r>
      <w:r w:rsidR="00772C43" w:rsidRPr="00064461">
        <w:rPr>
          <w:rFonts w:ascii="Arial" w:hAnsi="Arial" w:cs="Arial"/>
          <w:b/>
          <w:bCs/>
        </w:rPr>
        <w:t xml:space="preserve"> IT</w:t>
      </w:r>
      <w:r w:rsidR="00772C43">
        <w:rPr>
          <w:rFonts w:ascii="Arial" w:hAnsi="Arial" w:cs="Arial"/>
          <w:b/>
          <w:bCs/>
        </w:rPr>
        <w:t xml:space="preserve"> e</w:t>
      </w:r>
      <w:r w:rsidR="00772C43" w:rsidRPr="00064461">
        <w:rPr>
          <w:rFonts w:ascii="Arial" w:hAnsi="Arial" w:cs="Arial"/>
          <w:b/>
          <w:bCs/>
        </w:rPr>
        <w:t xml:space="preserve"> Consumer Electronics</w:t>
      </w:r>
      <w:r w:rsidR="00772C43">
        <w:rPr>
          <w:rFonts w:ascii="Arial" w:hAnsi="Arial" w:cs="Arial"/>
          <w:b/>
          <w:bCs/>
        </w:rPr>
        <w:t xml:space="preserve">, apparecchi di illuminazione, PED </w:t>
      </w:r>
      <w:r w:rsidR="00772C43" w:rsidRPr="00064461">
        <w:rPr>
          <w:rFonts w:ascii="Arial" w:hAnsi="Arial" w:cs="Arial"/>
          <w:b/>
          <w:bCs/>
        </w:rPr>
        <w:t xml:space="preserve">e </w:t>
      </w:r>
      <w:r w:rsidR="00772C43">
        <w:rPr>
          <w:rFonts w:ascii="Arial" w:hAnsi="Arial" w:cs="Arial"/>
          <w:b/>
          <w:bCs/>
        </w:rPr>
        <w:t xml:space="preserve">altro </w:t>
      </w:r>
      <w:r w:rsidR="00772C43" w:rsidRPr="00772C43">
        <w:rPr>
          <w:rFonts w:ascii="Arial" w:hAnsi="Arial" w:cs="Arial"/>
        </w:rPr>
        <w:t xml:space="preserve">hanno </w:t>
      </w:r>
      <w:r w:rsidR="00F6362D">
        <w:rPr>
          <w:rFonts w:ascii="Arial" w:hAnsi="Arial" w:cs="Arial"/>
        </w:rPr>
        <w:t>registrato</w:t>
      </w:r>
      <w:r w:rsidR="00772C43" w:rsidRPr="00772C43">
        <w:rPr>
          <w:rFonts w:ascii="Arial" w:hAnsi="Arial" w:cs="Arial"/>
        </w:rPr>
        <w:t xml:space="preserve"> la maggiore crescita nei volumi di raccolta rispetto al 2023</w:t>
      </w:r>
      <w:r w:rsidR="00772C43">
        <w:rPr>
          <w:rFonts w:ascii="Arial" w:hAnsi="Arial" w:cs="Arial"/>
        </w:rPr>
        <w:t xml:space="preserve"> che si traduce in un incremento del </w:t>
      </w:r>
      <w:r w:rsidR="00772C43" w:rsidRPr="00772C43">
        <w:rPr>
          <w:rFonts w:ascii="Arial" w:hAnsi="Arial" w:cs="Arial"/>
        </w:rPr>
        <w:t>7,5%</w:t>
      </w:r>
      <w:r w:rsidR="00772C43">
        <w:rPr>
          <w:rFonts w:ascii="Arial" w:hAnsi="Arial" w:cs="Arial"/>
        </w:rPr>
        <w:t xml:space="preserve"> per un totale di </w:t>
      </w:r>
      <w:r w:rsidR="006B02FB">
        <w:rPr>
          <w:rFonts w:ascii="Arial" w:hAnsi="Arial" w:cs="Arial"/>
        </w:rPr>
        <w:t>82.471 tonnellate</w:t>
      </w:r>
      <w:r w:rsidR="007A1B3D">
        <w:rPr>
          <w:rFonts w:ascii="Arial" w:hAnsi="Arial" w:cs="Arial"/>
        </w:rPr>
        <w:t xml:space="preserve"> avviate a riciclo</w:t>
      </w:r>
      <w:r w:rsidR="006B02FB">
        <w:rPr>
          <w:rFonts w:ascii="Arial" w:hAnsi="Arial" w:cs="Arial"/>
        </w:rPr>
        <w:t>. DI conseguenza, l’incidenza sul totale raccolto sale al 23%.</w:t>
      </w:r>
    </w:p>
    <w:p w14:paraId="721844B8" w14:textId="5A20725A" w:rsidR="006B02FB" w:rsidRPr="005D12E1" w:rsidRDefault="006B02FB" w:rsidP="00BA21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Cresce </w:t>
      </w:r>
      <w:r w:rsidRPr="006B02FB">
        <w:rPr>
          <w:rFonts w:ascii="Arial" w:hAnsi="Arial" w:cs="Arial"/>
        </w:rPr>
        <w:t xml:space="preserve">anche la raccolta dei RAEE </w:t>
      </w:r>
      <w:r>
        <w:rPr>
          <w:rFonts w:ascii="Arial" w:hAnsi="Arial" w:cs="Arial"/>
        </w:rPr>
        <w:t xml:space="preserve">di grandi dimensioni, a partire da </w:t>
      </w:r>
      <w:r w:rsidRPr="00064461">
        <w:rPr>
          <w:rFonts w:ascii="Arial" w:hAnsi="Arial" w:cs="Arial"/>
          <w:b/>
          <w:bCs/>
        </w:rPr>
        <w:t xml:space="preserve">R2 </w:t>
      </w:r>
      <w:r>
        <w:rPr>
          <w:rFonts w:ascii="Arial" w:hAnsi="Arial" w:cs="Arial"/>
          <w:b/>
          <w:bCs/>
        </w:rPr>
        <w:t>-</w:t>
      </w:r>
      <w:r w:rsidRPr="00064461">
        <w:rPr>
          <w:rFonts w:ascii="Arial" w:hAnsi="Arial" w:cs="Arial"/>
          <w:b/>
          <w:bCs/>
        </w:rPr>
        <w:t xml:space="preserve"> grandi bianchi</w:t>
      </w:r>
      <w:r w:rsidR="005D12E1">
        <w:rPr>
          <w:rFonts w:ascii="Arial" w:hAnsi="Arial" w:cs="Arial"/>
          <w:b/>
          <w:bCs/>
        </w:rPr>
        <w:t xml:space="preserve"> </w:t>
      </w:r>
      <w:r w:rsidR="005D12E1" w:rsidRPr="005D12E1">
        <w:rPr>
          <w:rFonts w:ascii="Arial" w:hAnsi="Arial" w:cs="Arial"/>
        </w:rPr>
        <w:t>che registra il +4% per un totale di 126.903 tonnellate</w:t>
      </w:r>
      <w:r w:rsidR="005D12E1">
        <w:rPr>
          <w:rFonts w:ascii="Arial" w:hAnsi="Arial" w:cs="Arial"/>
        </w:rPr>
        <w:t xml:space="preserve">, pari al 35% della raccolta totale, </w:t>
      </w:r>
      <w:r w:rsidR="00A239CC">
        <w:rPr>
          <w:rFonts w:ascii="Arial" w:hAnsi="Arial" w:cs="Arial"/>
        </w:rPr>
        <w:t xml:space="preserve">seguito </w:t>
      </w:r>
      <w:r w:rsidR="005D12E1">
        <w:rPr>
          <w:rFonts w:ascii="Arial" w:hAnsi="Arial" w:cs="Arial"/>
        </w:rPr>
        <w:t xml:space="preserve">dai RAEE di </w:t>
      </w:r>
      <w:r w:rsidR="005D12E1" w:rsidRPr="00064461">
        <w:rPr>
          <w:rStyle w:val="NessunoA"/>
          <w:rFonts w:ascii="Arial" w:hAnsi="Arial" w:cs="Arial"/>
          <w:b/>
          <w:bCs/>
          <w:u w:color="3B3838"/>
          <w:shd w:val="clear" w:color="auto" w:fill="FFFFFF"/>
        </w:rPr>
        <w:t>R1</w:t>
      </w:r>
      <w:r w:rsidR="005D12E1">
        <w:rPr>
          <w:rStyle w:val="NessunoA"/>
          <w:rFonts w:ascii="Arial" w:hAnsi="Arial" w:cs="Arial"/>
          <w:b/>
          <w:bCs/>
          <w:u w:color="3B3838"/>
          <w:shd w:val="clear" w:color="auto" w:fill="FFFFFF"/>
        </w:rPr>
        <w:t xml:space="preserve"> </w:t>
      </w:r>
      <w:r w:rsidR="005D12E1" w:rsidRPr="00064461">
        <w:rPr>
          <w:rFonts w:ascii="Arial" w:hAnsi="Arial" w:cs="Arial"/>
          <w:b/>
          <w:bCs/>
        </w:rPr>
        <w:t>- Apparecchi per lo scambio di temperatura con fluidi</w:t>
      </w:r>
      <w:r w:rsidR="005D12E1">
        <w:rPr>
          <w:rFonts w:ascii="Arial" w:hAnsi="Arial" w:cs="Arial"/>
        </w:rPr>
        <w:t xml:space="preserve"> con il +3,3% per un totale di 104.407 tonnellate, con un’incidenza del 29% sui volumi di raccolta complessivi.</w:t>
      </w:r>
    </w:p>
    <w:p w14:paraId="1E8E5864" w14:textId="569AD2B9" w:rsidR="00434552" w:rsidRDefault="006B02FB" w:rsidP="00412A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Calano (-10,9%) al contrario </w:t>
      </w:r>
      <w:r>
        <w:rPr>
          <w:rFonts w:ascii="Arial" w:hAnsi="Arial" w:cs="Arial"/>
          <w:b/>
          <w:bCs/>
        </w:rPr>
        <w:t xml:space="preserve">i quantitativi di </w:t>
      </w:r>
      <w:r w:rsidRPr="00064461">
        <w:rPr>
          <w:rFonts w:ascii="Arial" w:hAnsi="Arial" w:cs="Arial"/>
          <w:b/>
          <w:bCs/>
        </w:rPr>
        <w:t xml:space="preserve">R3 </w:t>
      </w:r>
      <w:r>
        <w:rPr>
          <w:rFonts w:ascii="Arial" w:hAnsi="Arial" w:cs="Arial"/>
          <w:b/>
          <w:bCs/>
        </w:rPr>
        <w:t>-</w:t>
      </w:r>
      <w:r w:rsidRPr="00064461">
        <w:rPr>
          <w:rFonts w:ascii="Arial" w:hAnsi="Arial" w:cs="Arial"/>
          <w:b/>
          <w:bCs/>
        </w:rPr>
        <w:t xml:space="preserve"> Tv e monitor</w:t>
      </w:r>
      <w:r>
        <w:rPr>
          <w:rFonts w:ascii="Arial" w:hAnsi="Arial" w:cs="Arial"/>
          <w:b/>
          <w:bCs/>
        </w:rPr>
        <w:t xml:space="preserve"> </w:t>
      </w:r>
      <w:r w:rsidR="005D12E1" w:rsidRPr="005D12E1">
        <w:rPr>
          <w:rFonts w:ascii="Arial" w:hAnsi="Arial" w:cs="Arial"/>
        </w:rPr>
        <w:t>per</w:t>
      </w:r>
      <w:r w:rsidRPr="005D12E1">
        <w:rPr>
          <w:rFonts w:ascii="Arial" w:hAnsi="Arial" w:cs="Arial"/>
        </w:rPr>
        <w:t xml:space="preserve"> un totale di 42.476 tonnellate.</w:t>
      </w:r>
      <w:r w:rsidR="005D12E1">
        <w:rPr>
          <w:rFonts w:ascii="Arial" w:hAnsi="Arial" w:cs="Arial"/>
        </w:rPr>
        <w:t xml:space="preserve"> Pressoché stabili (-0,2%) infine i volumi di raccolta di </w:t>
      </w:r>
      <w:r w:rsidR="005D12E1" w:rsidRPr="00064461">
        <w:rPr>
          <w:rFonts w:ascii="Arial" w:hAnsi="Arial" w:cs="Arial"/>
          <w:b/>
          <w:bCs/>
        </w:rPr>
        <w:t>R5</w:t>
      </w:r>
      <w:r w:rsidR="005D12E1">
        <w:rPr>
          <w:rFonts w:ascii="Arial" w:hAnsi="Arial" w:cs="Arial"/>
          <w:b/>
          <w:bCs/>
        </w:rPr>
        <w:t xml:space="preserve"> </w:t>
      </w:r>
      <w:r w:rsidR="005D12E1" w:rsidRPr="00064461">
        <w:rPr>
          <w:rFonts w:ascii="Arial" w:hAnsi="Arial" w:cs="Arial"/>
          <w:b/>
          <w:bCs/>
        </w:rPr>
        <w:t>- sorgenti luminose</w:t>
      </w:r>
      <w:r w:rsidR="005D12E1">
        <w:rPr>
          <w:rFonts w:ascii="Arial" w:hAnsi="Arial" w:cs="Arial"/>
          <w:b/>
          <w:bCs/>
        </w:rPr>
        <w:t xml:space="preserve">, </w:t>
      </w:r>
      <w:r w:rsidR="005D12E1" w:rsidRPr="005D12E1">
        <w:rPr>
          <w:rFonts w:ascii="Arial" w:hAnsi="Arial" w:cs="Arial"/>
        </w:rPr>
        <w:t>pari a 1.881 tonnellate.</w:t>
      </w:r>
    </w:p>
    <w:p w14:paraId="4EBE26B0" w14:textId="77777777" w:rsidR="00434552" w:rsidRPr="00064461" w:rsidRDefault="00434552" w:rsidP="00C055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jc w:val="both"/>
        <w:rPr>
          <w:rStyle w:val="NessunoA"/>
          <w:rFonts w:ascii="Arial" w:hAnsi="Arial" w:cs="Arial"/>
          <w:u w:color="3B3838"/>
        </w:rPr>
      </w:pPr>
    </w:p>
    <w:p w14:paraId="40759530" w14:textId="7D6B313B" w:rsidR="0044474C" w:rsidRPr="00064461" w:rsidRDefault="0044474C" w:rsidP="001B12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spacing w:line="276" w:lineRule="auto"/>
        <w:jc w:val="both"/>
        <w:rPr>
          <w:rStyle w:val="NessunoA"/>
          <w:rFonts w:ascii="Arial" w:hAnsi="Arial" w:cs="Arial"/>
          <w:u w:color="3B3838"/>
        </w:rPr>
      </w:pPr>
      <w:r w:rsidRPr="00064461">
        <w:rPr>
          <w:rFonts w:ascii="Arial" w:hAnsi="Arial" w:cs="Arial"/>
          <w:b/>
          <w:bCs/>
        </w:rPr>
        <w:t xml:space="preserve">RACCOLTA </w:t>
      </w:r>
      <w:r w:rsidR="009B43AB" w:rsidRPr="00064461">
        <w:rPr>
          <w:rFonts w:ascii="Arial" w:hAnsi="Arial" w:cs="Arial"/>
          <w:b/>
          <w:bCs/>
        </w:rPr>
        <w:t>PER</w:t>
      </w:r>
      <w:r w:rsidRPr="00064461">
        <w:rPr>
          <w:rFonts w:ascii="Arial" w:hAnsi="Arial" w:cs="Arial"/>
          <w:b/>
          <w:bCs/>
        </w:rPr>
        <w:t xml:space="preserve"> RAGGRUPPAMENT</w:t>
      </w:r>
      <w:r w:rsidR="009B43AB" w:rsidRPr="00064461">
        <w:rPr>
          <w:rFonts w:ascii="Arial" w:hAnsi="Arial" w:cs="Arial"/>
          <w:b/>
          <w:bCs/>
        </w:rPr>
        <w:t>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2126"/>
        <w:gridCol w:w="2552"/>
      </w:tblGrid>
      <w:tr w:rsidR="005D12E1" w:rsidRPr="00064461" w14:paraId="04A22DA3" w14:textId="65EC08E2" w:rsidTr="001B12F5">
        <w:tc>
          <w:tcPr>
            <w:tcW w:w="2263" w:type="dxa"/>
          </w:tcPr>
          <w:p w14:paraId="79E930FE" w14:textId="77777777" w:rsidR="005D12E1" w:rsidRPr="00064461" w:rsidRDefault="005D12E1" w:rsidP="00C0555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  <w:tab w:val="left" w:pos="9360"/>
                <w:tab w:val="left" w:pos="9960"/>
              </w:tabs>
              <w:jc w:val="both"/>
              <w:rPr>
                <w:rStyle w:val="NessunoA"/>
                <w:rFonts w:ascii="Arial" w:hAnsi="Arial" w:cs="Arial"/>
                <w:b/>
                <w:bCs/>
                <w:sz w:val="24"/>
                <w:szCs w:val="24"/>
                <w:u w:color="3B3838"/>
              </w:rPr>
            </w:pPr>
            <w:r w:rsidRPr="00064461">
              <w:rPr>
                <w:rStyle w:val="NessunoA"/>
                <w:rFonts w:ascii="Arial" w:hAnsi="Arial" w:cs="Arial"/>
                <w:b/>
                <w:bCs/>
                <w:sz w:val="24"/>
                <w:szCs w:val="24"/>
                <w:u w:color="3B3838"/>
              </w:rPr>
              <w:t>Raggruppamento</w:t>
            </w:r>
          </w:p>
        </w:tc>
        <w:tc>
          <w:tcPr>
            <w:tcW w:w="1985" w:type="dxa"/>
            <w:vAlign w:val="center"/>
          </w:tcPr>
          <w:p w14:paraId="02098952" w14:textId="29CFC9FA" w:rsidR="005D12E1" w:rsidRPr="00064461" w:rsidRDefault="00930718" w:rsidP="00B22BF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  <w:tab w:val="left" w:pos="9360"/>
                <w:tab w:val="left" w:pos="99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Tonnellate</w:t>
            </w:r>
          </w:p>
        </w:tc>
        <w:tc>
          <w:tcPr>
            <w:tcW w:w="2126" w:type="dxa"/>
            <w:vAlign w:val="center"/>
          </w:tcPr>
          <w:p w14:paraId="42E5CACF" w14:textId="461DE656" w:rsidR="005D12E1" w:rsidRPr="00064461" w:rsidRDefault="005D12E1" w:rsidP="003B54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  <w:tab w:val="left" w:pos="9360"/>
                <w:tab w:val="left" w:pos="99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4461">
              <w:rPr>
                <w:rFonts w:ascii="Arial" w:hAnsi="Arial" w:cs="Arial"/>
                <w:b/>
                <w:bCs/>
                <w:sz w:val="24"/>
                <w:szCs w:val="24"/>
              </w:rPr>
              <w:t>202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064461">
              <w:rPr>
                <w:rFonts w:ascii="Arial" w:hAnsi="Arial" w:cs="Arial"/>
                <w:b/>
                <w:bCs/>
                <w:sz w:val="24"/>
                <w:szCs w:val="24"/>
              </w:rPr>
              <w:t>vs202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2B1DAEA1" w14:textId="731CDC7E" w:rsidR="005D12E1" w:rsidRPr="001B12F5" w:rsidRDefault="005D12E1" w:rsidP="001B12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  <w:tab w:val="left" w:pos="9360"/>
                <w:tab w:val="left" w:pos="99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12F5">
              <w:rPr>
                <w:rFonts w:ascii="Arial" w:hAnsi="Arial" w:cs="Arial"/>
                <w:b/>
                <w:bCs/>
                <w:sz w:val="24"/>
                <w:szCs w:val="24"/>
              </w:rPr>
              <w:t>Incidenza</w:t>
            </w:r>
            <w:r w:rsidR="001B12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B12F5">
              <w:rPr>
                <w:rFonts w:ascii="Arial" w:hAnsi="Arial" w:cs="Arial"/>
                <w:b/>
                <w:bCs/>
                <w:sz w:val="24"/>
                <w:szCs w:val="24"/>
              </w:rPr>
              <w:t>sul totale</w:t>
            </w:r>
          </w:p>
        </w:tc>
      </w:tr>
      <w:tr w:rsidR="005D12E1" w:rsidRPr="00064461" w14:paraId="0700B78C" w14:textId="2CC118E0" w:rsidTr="001B12F5">
        <w:tc>
          <w:tcPr>
            <w:tcW w:w="2263" w:type="dxa"/>
            <w:vAlign w:val="center"/>
          </w:tcPr>
          <w:p w14:paraId="5CBD86CD" w14:textId="77777777" w:rsidR="005D12E1" w:rsidRPr="00064461" w:rsidRDefault="005D12E1" w:rsidP="0049599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  <w:tab w:val="left" w:pos="9360"/>
                <w:tab w:val="left" w:pos="9960"/>
              </w:tabs>
              <w:jc w:val="center"/>
              <w:rPr>
                <w:rStyle w:val="NessunoA"/>
                <w:rFonts w:ascii="Arial" w:hAnsi="Arial" w:cs="Arial"/>
                <w:sz w:val="24"/>
                <w:szCs w:val="24"/>
                <w:u w:color="3B3838"/>
                <w:bdr w:val="none" w:sz="0" w:space="0" w:color="auto"/>
              </w:rPr>
            </w:pPr>
            <w:r w:rsidRPr="00064461">
              <w:rPr>
                <w:rStyle w:val="NessunoA"/>
                <w:rFonts w:ascii="Arial" w:hAnsi="Arial" w:cs="Arial"/>
                <w:sz w:val="24"/>
                <w:szCs w:val="24"/>
                <w:u w:color="3B3838"/>
              </w:rPr>
              <w:t>R1</w:t>
            </w:r>
          </w:p>
        </w:tc>
        <w:tc>
          <w:tcPr>
            <w:tcW w:w="1985" w:type="dxa"/>
            <w:vAlign w:val="bottom"/>
          </w:tcPr>
          <w:p w14:paraId="6DE95657" w14:textId="5EC1B09B" w:rsidR="005D12E1" w:rsidRPr="00064461" w:rsidRDefault="005D12E1" w:rsidP="003B552C">
            <w:pPr>
              <w:jc w:val="center"/>
              <w:rPr>
                <w:rStyle w:val="NessunoA"/>
                <w:rFonts w:ascii="Arial" w:hAnsi="Arial" w:cs="Arial"/>
                <w:sz w:val="24"/>
                <w:szCs w:val="24"/>
                <w:bdr w:val="none" w:sz="0" w:space="0" w:color="auto"/>
              </w:rPr>
            </w:pPr>
            <w:r w:rsidRPr="000644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10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4.407</w:t>
            </w:r>
          </w:p>
        </w:tc>
        <w:tc>
          <w:tcPr>
            <w:tcW w:w="2126" w:type="dxa"/>
            <w:vAlign w:val="center"/>
          </w:tcPr>
          <w:p w14:paraId="2BA228B7" w14:textId="4C560091" w:rsidR="005D12E1" w:rsidRPr="00064461" w:rsidRDefault="005D12E1" w:rsidP="003B5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461">
              <w:rPr>
                <w:rFonts w:ascii="Arial" w:hAnsi="Arial" w:cs="Arial"/>
                <w:sz w:val="24"/>
                <w:szCs w:val="24"/>
              </w:rPr>
              <w:t>+</w:t>
            </w:r>
            <w:r>
              <w:rPr>
                <w:rFonts w:ascii="Arial" w:hAnsi="Arial" w:cs="Arial"/>
                <w:sz w:val="24"/>
                <w:szCs w:val="24"/>
              </w:rPr>
              <w:t>3,3</w:t>
            </w:r>
            <w:r w:rsidRPr="00064461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2552" w:type="dxa"/>
          </w:tcPr>
          <w:p w14:paraId="06E420AC" w14:textId="0AAED76F" w:rsidR="005D12E1" w:rsidRPr="001B12F5" w:rsidRDefault="005D12E1" w:rsidP="003B5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2F5">
              <w:rPr>
                <w:rFonts w:ascii="Arial" w:hAnsi="Arial" w:cs="Arial"/>
                <w:sz w:val="24"/>
                <w:szCs w:val="24"/>
              </w:rPr>
              <w:t>29%</w:t>
            </w:r>
          </w:p>
        </w:tc>
      </w:tr>
      <w:tr w:rsidR="005D12E1" w:rsidRPr="00064461" w14:paraId="6F3FFD77" w14:textId="78C60B0C" w:rsidTr="001B12F5">
        <w:tc>
          <w:tcPr>
            <w:tcW w:w="2263" w:type="dxa"/>
            <w:vAlign w:val="center"/>
          </w:tcPr>
          <w:p w14:paraId="418E18C7" w14:textId="77777777" w:rsidR="005D12E1" w:rsidRPr="00064461" w:rsidRDefault="005D12E1" w:rsidP="0049599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  <w:tab w:val="left" w:pos="9360"/>
                <w:tab w:val="left" w:pos="9960"/>
              </w:tabs>
              <w:jc w:val="center"/>
              <w:rPr>
                <w:rStyle w:val="NessunoA"/>
                <w:rFonts w:ascii="Arial" w:hAnsi="Arial" w:cs="Arial"/>
                <w:sz w:val="24"/>
                <w:szCs w:val="24"/>
                <w:u w:color="3B3838"/>
                <w:bdr w:val="none" w:sz="0" w:space="0" w:color="auto"/>
              </w:rPr>
            </w:pPr>
            <w:r w:rsidRPr="00064461">
              <w:rPr>
                <w:rStyle w:val="NessunoA"/>
                <w:rFonts w:ascii="Arial" w:hAnsi="Arial" w:cs="Arial"/>
                <w:sz w:val="24"/>
                <w:szCs w:val="24"/>
                <w:u w:color="3B3838"/>
              </w:rPr>
              <w:t>R2</w:t>
            </w:r>
          </w:p>
        </w:tc>
        <w:tc>
          <w:tcPr>
            <w:tcW w:w="1985" w:type="dxa"/>
            <w:vAlign w:val="bottom"/>
          </w:tcPr>
          <w:p w14:paraId="03595680" w14:textId="10F66B6E" w:rsidR="005D12E1" w:rsidRPr="00064461" w:rsidRDefault="005D12E1" w:rsidP="003B552C">
            <w:pPr>
              <w:jc w:val="center"/>
              <w:rPr>
                <w:rStyle w:val="NessunoA"/>
                <w:rFonts w:ascii="Arial" w:hAnsi="Arial" w:cs="Arial"/>
                <w:sz w:val="24"/>
                <w:szCs w:val="24"/>
                <w:bdr w:val="none" w:sz="0" w:space="0" w:color="auto"/>
              </w:rPr>
            </w:pPr>
            <w:r w:rsidRPr="000644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12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6.903</w:t>
            </w:r>
          </w:p>
        </w:tc>
        <w:tc>
          <w:tcPr>
            <w:tcW w:w="2126" w:type="dxa"/>
            <w:vAlign w:val="center"/>
          </w:tcPr>
          <w:p w14:paraId="15581590" w14:textId="570D169A" w:rsidR="005D12E1" w:rsidRPr="00064461" w:rsidRDefault="005D12E1" w:rsidP="003B54F4">
            <w:pPr>
              <w:jc w:val="center"/>
              <w:rPr>
                <w:rStyle w:val="NessunoA"/>
                <w:rFonts w:ascii="Arial" w:hAnsi="Arial" w:cs="Arial"/>
                <w:sz w:val="24"/>
                <w:szCs w:val="24"/>
                <w:bdr w:val="none" w:sz="0" w:space="0" w:color="auto"/>
              </w:rPr>
            </w:pPr>
            <w:r w:rsidRPr="00064461">
              <w:rPr>
                <w:rFonts w:ascii="Arial" w:hAnsi="Arial" w:cs="Arial"/>
                <w:sz w:val="24"/>
                <w:szCs w:val="24"/>
              </w:rPr>
              <w:t>+</w:t>
            </w:r>
            <w:r>
              <w:rPr>
                <w:rFonts w:ascii="Arial" w:hAnsi="Arial" w:cs="Arial"/>
                <w:sz w:val="24"/>
                <w:szCs w:val="24"/>
              </w:rPr>
              <w:t>4,0</w:t>
            </w:r>
            <w:r w:rsidRPr="00064461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2552" w:type="dxa"/>
          </w:tcPr>
          <w:p w14:paraId="60A2BDC6" w14:textId="3958FC37" w:rsidR="005D12E1" w:rsidRPr="001B12F5" w:rsidRDefault="005D12E1" w:rsidP="003B5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2F5">
              <w:rPr>
                <w:rFonts w:ascii="Arial" w:hAnsi="Arial" w:cs="Arial"/>
                <w:sz w:val="24"/>
                <w:szCs w:val="24"/>
              </w:rPr>
              <w:t>35%</w:t>
            </w:r>
          </w:p>
        </w:tc>
      </w:tr>
      <w:tr w:rsidR="005D12E1" w:rsidRPr="00064461" w14:paraId="1A5FA73D" w14:textId="5E573CDB" w:rsidTr="001B12F5">
        <w:tc>
          <w:tcPr>
            <w:tcW w:w="2263" w:type="dxa"/>
            <w:vAlign w:val="center"/>
          </w:tcPr>
          <w:p w14:paraId="04EBBB5D" w14:textId="77777777" w:rsidR="005D12E1" w:rsidRPr="00064461" w:rsidRDefault="005D12E1" w:rsidP="0049599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  <w:tab w:val="left" w:pos="9360"/>
                <w:tab w:val="left" w:pos="9960"/>
              </w:tabs>
              <w:jc w:val="center"/>
              <w:rPr>
                <w:rStyle w:val="NessunoA"/>
                <w:rFonts w:ascii="Arial" w:hAnsi="Arial" w:cs="Arial"/>
                <w:sz w:val="24"/>
                <w:szCs w:val="24"/>
                <w:u w:color="3B3838"/>
                <w:bdr w:val="none" w:sz="0" w:space="0" w:color="auto"/>
              </w:rPr>
            </w:pPr>
            <w:r w:rsidRPr="00064461">
              <w:rPr>
                <w:rStyle w:val="NessunoA"/>
                <w:rFonts w:ascii="Arial" w:hAnsi="Arial" w:cs="Arial"/>
                <w:sz w:val="24"/>
                <w:szCs w:val="24"/>
                <w:u w:color="3B3838"/>
              </w:rPr>
              <w:t>R3</w:t>
            </w:r>
          </w:p>
        </w:tc>
        <w:tc>
          <w:tcPr>
            <w:tcW w:w="1985" w:type="dxa"/>
            <w:vAlign w:val="bottom"/>
          </w:tcPr>
          <w:p w14:paraId="627F9F72" w14:textId="0CDA6B60" w:rsidR="005D12E1" w:rsidRPr="00064461" w:rsidRDefault="005D12E1" w:rsidP="003B552C">
            <w:pPr>
              <w:jc w:val="center"/>
              <w:rPr>
                <w:rStyle w:val="NessunoA"/>
                <w:rFonts w:ascii="Arial" w:hAnsi="Arial" w:cs="Arial"/>
                <w:sz w:val="24"/>
                <w:szCs w:val="24"/>
                <w:bdr w:val="none" w:sz="0" w:space="0" w:color="auto"/>
              </w:rPr>
            </w:pPr>
            <w:r w:rsidRPr="000644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2.476</w:t>
            </w:r>
          </w:p>
        </w:tc>
        <w:tc>
          <w:tcPr>
            <w:tcW w:w="2126" w:type="dxa"/>
            <w:vAlign w:val="center"/>
          </w:tcPr>
          <w:p w14:paraId="5514CF40" w14:textId="521BD84A" w:rsidR="005D12E1" w:rsidRPr="00064461" w:rsidRDefault="005D12E1" w:rsidP="003B54F4">
            <w:pPr>
              <w:jc w:val="center"/>
              <w:rPr>
                <w:rStyle w:val="NessunoA"/>
                <w:rFonts w:ascii="Arial" w:hAnsi="Arial" w:cs="Arial"/>
                <w:sz w:val="24"/>
                <w:szCs w:val="24"/>
                <w:bdr w:val="none" w:sz="0" w:space="0" w:color="auto"/>
              </w:rPr>
            </w:pPr>
            <w:r w:rsidRPr="000C7245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10,9</w:t>
            </w:r>
            <w:r w:rsidRPr="000C724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2552" w:type="dxa"/>
          </w:tcPr>
          <w:p w14:paraId="53C674ED" w14:textId="2A88E684" w:rsidR="005D12E1" w:rsidRPr="001B12F5" w:rsidRDefault="005D12E1" w:rsidP="003B5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2F5">
              <w:rPr>
                <w:rFonts w:ascii="Arial" w:hAnsi="Arial" w:cs="Arial"/>
                <w:sz w:val="24"/>
                <w:szCs w:val="24"/>
              </w:rPr>
              <w:t>12%</w:t>
            </w:r>
          </w:p>
        </w:tc>
      </w:tr>
      <w:tr w:rsidR="005D12E1" w:rsidRPr="00064461" w14:paraId="7031DBF8" w14:textId="7F8079FE" w:rsidTr="001B12F5">
        <w:trPr>
          <w:trHeight w:val="62"/>
        </w:trPr>
        <w:tc>
          <w:tcPr>
            <w:tcW w:w="2263" w:type="dxa"/>
            <w:vAlign w:val="center"/>
          </w:tcPr>
          <w:p w14:paraId="629F9298" w14:textId="77777777" w:rsidR="005D12E1" w:rsidRPr="00064461" w:rsidRDefault="005D12E1" w:rsidP="0049599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  <w:tab w:val="left" w:pos="9360"/>
                <w:tab w:val="left" w:pos="9960"/>
              </w:tabs>
              <w:jc w:val="center"/>
              <w:rPr>
                <w:rStyle w:val="NessunoA"/>
                <w:rFonts w:ascii="Arial" w:hAnsi="Arial" w:cs="Arial"/>
                <w:sz w:val="24"/>
                <w:szCs w:val="24"/>
                <w:u w:color="3B3838"/>
                <w:bdr w:val="none" w:sz="0" w:space="0" w:color="auto"/>
              </w:rPr>
            </w:pPr>
            <w:r w:rsidRPr="00064461">
              <w:rPr>
                <w:rStyle w:val="NessunoA"/>
                <w:rFonts w:ascii="Arial" w:hAnsi="Arial" w:cs="Arial"/>
                <w:sz w:val="24"/>
                <w:szCs w:val="24"/>
                <w:u w:color="3B3838"/>
              </w:rPr>
              <w:t>R4</w:t>
            </w:r>
          </w:p>
        </w:tc>
        <w:tc>
          <w:tcPr>
            <w:tcW w:w="1985" w:type="dxa"/>
            <w:vAlign w:val="bottom"/>
          </w:tcPr>
          <w:p w14:paraId="1EC7BD58" w14:textId="44E172ED" w:rsidR="005D12E1" w:rsidRPr="005D12E1" w:rsidRDefault="005D12E1" w:rsidP="003B552C">
            <w:pPr>
              <w:jc w:val="center"/>
              <w:rPr>
                <w:rStyle w:val="NessunoA"/>
                <w:rFonts w:ascii="Arial" w:hAnsi="Arial" w:cs="Arial"/>
                <w:sz w:val="24"/>
                <w:szCs w:val="24"/>
                <w:bdr w:val="none" w:sz="0" w:space="0" w:color="auto"/>
              </w:rPr>
            </w:pPr>
            <w:r w:rsidRPr="005D12E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82.471</w:t>
            </w:r>
          </w:p>
        </w:tc>
        <w:tc>
          <w:tcPr>
            <w:tcW w:w="2126" w:type="dxa"/>
            <w:vAlign w:val="center"/>
          </w:tcPr>
          <w:p w14:paraId="6FB79090" w14:textId="31F70E8A" w:rsidR="005D12E1" w:rsidRPr="00064461" w:rsidRDefault="005D12E1" w:rsidP="003B54F4">
            <w:pPr>
              <w:jc w:val="center"/>
              <w:rPr>
                <w:rStyle w:val="NessunoA"/>
                <w:rFonts w:ascii="Arial" w:hAnsi="Arial" w:cs="Arial"/>
                <w:sz w:val="24"/>
                <w:szCs w:val="24"/>
                <w:bdr w:val="none" w:sz="0" w:space="0" w:color="auto"/>
              </w:rPr>
            </w:pPr>
            <w:r w:rsidRPr="00064461">
              <w:rPr>
                <w:rFonts w:ascii="Arial" w:hAnsi="Arial" w:cs="Arial"/>
                <w:color w:val="000000" w:themeColor="text1"/>
                <w:sz w:val="24"/>
                <w:szCs w:val="24"/>
              </w:rPr>
              <w:t>+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7,5</w:t>
            </w:r>
            <w:r w:rsidRPr="00064461">
              <w:rPr>
                <w:rFonts w:ascii="Arial" w:hAnsi="Arial" w:cs="Arial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552" w:type="dxa"/>
          </w:tcPr>
          <w:p w14:paraId="7ED4F390" w14:textId="7B0FD409" w:rsidR="005D12E1" w:rsidRPr="001B12F5" w:rsidRDefault="005D12E1" w:rsidP="003B54F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2F5">
              <w:rPr>
                <w:rFonts w:ascii="Arial" w:hAnsi="Arial" w:cs="Arial"/>
                <w:color w:val="000000" w:themeColor="text1"/>
                <w:sz w:val="24"/>
                <w:szCs w:val="24"/>
              </w:rPr>
              <w:t>23%</w:t>
            </w:r>
          </w:p>
        </w:tc>
      </w:tr>
      <w:tr w:rsidR="005D12E1" w:rsidRPr="00064461" w14:paraId="7C73CC7D" w14:textId="4A90E9E7" w:rsidTr="001B12F5">
        <w:tc>
          <w:tcPr>
            <w:tcW w:w="2263" w:type="dxa"/>
            <w:vAlign w:val="center"/>
          </w:tcPr>
          <w:p w14:paraId="43D0BC71" w14:textId="77777777" w:rsidR="005D12E1" w:rsidRPr="00064461" w:rsidRDefault="005D12E1" w:rsidP="0049599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  <w:tab w:val="left" w:pos="9360"/>
                <w:tab w:val="left" w:pos="9960"/>
              </w:tabs>
              <w:jc w:val="center"/>
              <w:rPr>
                <w:rStyle w:val="NessunoA"/>
                <w:rFonts w:ascii="Arial" w:hAnsi="Arial" w:cs="Arial"/>
                <w:sz w:val="24"/>
                <w:szCs w:val="24"/>
                <w:u w:color="3B3838"/>
                <w:bdr w:val="none" w:sz="0" w:space="0" w:color="auto"/>
              </w:rPr>
            </w:pPr>
            <w:r w:rsidRPr="00064461">
              <w:rPr>
                <w:rStyle w:val="NessunoA"/>
                <w:rFonts w:ascii="Arial" w:hAnsi="Arial" w:cs="Arial"/>
                <w:sz w:val="24"/>
                <w:szCs w:val="24"/>
                <w:u w:color="3B3838"/>
              </w:rPr>
              <w:t>R5</w:t>
            </w:r>
          </w:p>
        </w:tc>
        <w:tc>
          <w:tcPr>
            <w:tcW w:w="1985" w:type="dxa"/>
            <w:vAlign w:val="bottom"/>
          </w:tcPr>
          <w:p w14:paraId="39DA24ED" w14:textId="0D2EE495" w:rsidR="005D12E1" w:rsidRPr="00064461" w:rsidRDefault="005D12E1" w:rsidP="003B552C">
            <w:pPr>
              <w:jc w:val="center"/>
              <w:rPr>
                <w:rStyle w:val="NessunoA"/>
                <w:rFonts w:ascii="Arial" w:hAnsi="Arial" w:cs="Arial"/>
                <w:sz w:val="24"/>
                <w:szCs w:val="24"/>
                <w:bdr w:val="none" w:sz="0" w:space="0" w:color="auto"/>
              </w:rPr>
            </w:pPr>
            <w:r w:rsidRPr="00064461">
              <w:rPr>
                <w:rFonts w:ascii="Arial" w:hAnsi="Arial" w:cs="Arial"/>
                <w:sz w:val="24"/>
                <w:szCs w:val="24"/>
              </w:rPr>
              <w:t>1.88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00C764D4" w14:textId="1CDAF312" w:rsidR="005D12E1" w:rsidRPr="00064461" w:rsidRDefault="005D12E1" w:rsidP="003B54F4">
            <w:pPr>
              <w:jc w:val="center"/>
              <w:rPr>
                <w:rStyle w:val="NessunoA"/>
                <w:rFonts w:ascii="Arial" w:hAnsi="Arial" w:cs="Arial"/>
                <w:sz w:val="24"/>
                <w:szCs w:val="24"/>
                <w:bdr w:val="none" w:sz="0" w:space="0" w:color="auto"/>
              </w:rPr>
            </w:pPr>
            <w:r>
              <w:rPr>
                <w:rFonts w:ascii="Arial" w:hAnsi="Arial" w:cs="Arial"/>
                <w:sz w:val="24"/>
                <w:szCs w:val="24"/>
              </w:rPr>
              <w:t>-0,2</w:t>
            </w:r>
            <w:r w:rsidRPr="00064461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2552" w:type="dxa"/>
          </w:tcPr>
          <w:p w14:paraId="346A0FDF" w14:textId="086BFFF0" w:rsidR="005D12E1" w:rsidRPr="001B12F5" w:rsidRDefault="005D12E1" w:rsidP="003B5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2F5">
              <w:rPr>
                <w:rFonts w:ascii="Arial" w:hAnsi="Arial" w:cs="Arial"/>
                <w:sz w:val="24"/>
                <w:szCs w:val="24"/>
              </w:rPr>
              <w:t>1%</w:t>
            </w:r>
          </w:p>
        </w:tc>
      </w:tr>
    </w:tbl>
    <w:p w14:paraId="0B9EF628" w14:textId="77777777" w:rsidR="00EE598C" w:rsidRDefault="00EE598C" w:rsidP="00C05554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pacing w:after="0" w:line="240" w:lineRule="auto"/>
        <w:jc w:val="both"/>
        <w:rPr>
          <w:rStyle w:val="NessunoA"/>
          <w:rFonts w:ascii="Arial" w:eastAsia="Arial" w:hAnsi="Arial" w:cs="Arial"/>
          <w:sz w:val="24"/>
          <w:szCs w:val="24"/>
          <w:u w:color="3B3838"/>
          <w:shd w:val="clear" w:color="auto" w:fill="FFFFFF"/>
        </w:rPr>
      </w:pPr>
    </w:p>
    <w:p w14:paraId="40455B7B" w14:textId="77777777" w:rsidR="00861C22" w:rsidRDefault="00861C22" w:rsidP="00C05554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pacing w:after="0" w:line="240" w:lineRule="auto"/>
        <w:jc w:val="both"/>
        <w:rPr>
          <w:rStyle w:val="NessunoA"/>
          <w:rFonts w:ascii="Arial" w:eastAsia="Arial" w:hAnsi="Arial" w:cs="Arial"/>
          <w:sz w:val="24"/>
          <w:szCs w:val="24"/>
          <w:u w:color="3B3838"/>
          <w:shd w:val="clear" w:color="auto" w:fill="FFFFFF"/>
        </w:rPr>
      </w:pPr>
    </w:p>
    <w:p w14:paraId="28789C56" w14:textId="77777777" w:rsidR="00861C22" w:rsidRPr="00064461" w:rsidRDefault="00861C22" w:rsidP="00C05554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pacing w:after="0" w:line="240" w:lineRule="auto"/>
        <w:jc w:val="both"/>
        <w:rPr>
          <w:rStyle w:val="NessunoA"/>
          <w:rFonts w:ascii="Arial" w:eastAsia="Arial" w:hAnsi="Arial" w:cs="Arial"/>
          <w:sz w:val="24"/>
          <w:szCs w:val="24"/>
          <w:u w:color="3B3838"/>
          <w:shd w:val="clear" w:color="auto" w:fill="FFFFFF"/>
        </w:rPr>
      </w:pPr>
    </w:p>
    <w:p w14:paraId="0477ACDB" w14:textId="61E4C7E5" w:rsidR="00137000" w:rsidRPr="00064461" w:rsidRDefault="0044474C" w:rsidP="00137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jc w:val="both"/>
        <w:outlineLvl w:val="0"/>
        <w:rPr>
          <w:rStyle w:val="NessunoA"/>
          <w:rFonts w:ascii="Arial" w:hAnsi="Arial" w:cs="Arial"/>
          <w:b/>
          <w:bCs/>
          <w:u w:color="3B3838"/>
          <w:shd w:val="clear" w:color="auto" w:fill="FFFFFF"/>
        </w:rPr>
      </w:pPr>
      <w:r w:rsidRPr="00064461">
        <w:rPr>
          <w:rStyle w:val="NessunoA"/>
          <w:rFonts w:ascii="Arial" w:hAnsi="Arial" w:cs="Arial"/>
          <w:b/>
          <w:bCs/>
          <w:u w:color="3B3838"/>
          <w:shd w:val="clear" w:color="auto" w:fill="FFFFFF"/>
        </w:rPr>
        <w:lastRenderedPageBreak/>
        <w:t xml:space="preserve">La raccolta </w:t>
      </w:r>
      <w:r w:rsidR="00675BB0" w:rsidRPr="00064461">
        <w:rPr>
          <w:rStyle w:val="NessunoA"/>
          <w:rFonts w:ascii="Arial" w:hAnsi="Arial" w:cs="Arial"/>
          <w:b/>
          <w:bCs/>
          <w:u w:color="3B3838"/>
          <w:shd w:val="clear" w:color="auto" w:fill="FFFFFF"/>
        </w:rPr>
        <w:t>geografica</w:t>
      </w:r>
    </w:p>
    <w:p w14:paraId="76A0E7FA" w14:textId="61EB45E3" w:rsidR="006545AB" w:rsidRPr="00B02779" w:rsidRDefault="001B12F5" w:rsidP="006545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jc w:val="both"/>
        <w:outlineLvl w:val="0"/>
        <w:rPr>
          <w:rStyle w:val="NessunoA"/>
          <w:rFonts w:ascii="Arial" w:hAnsi="Arial" w:cs="Arial"/>
          <w:u w:color="3B3838"/>
          <w:shd w:val="clear" w:color="auto" w:fill="FFFFFF"/>
        </w:rPr>
      </w:pPr>
      <w:r>
        <w:rPr>
          <w:rStyle w:val="NessunoA"/>
          <w:rFonts w:ascii="Arial" w:hAnsi="Arial" w:cs="Arial"/>
          <w:u w:color="3B3838"/>
          <w:shd w:val="clear" w:color="auto" w:fill="FFFFFF"/>
        </w:rPr>
        <w:t>Una valutazione positiva dei risultati di raccolta 2024 emerge anche d</w:t>
      </w:r>
      <w:r w:rsidR="006545AB" w:rsidRPr="00064461">
        <w:rPr>
          <w:rStyle w:val="NessunoA"/>
          <w:rFonts w:ascii="Arial" w:hAnsi="Arial" w:cs="Arial"/>
          <w:u w:color="3B3838"/>
          <w:shd w:val="clear" w:color="auto" w:fill="FFFFFF"/>
        </w:rPr>
        <w:t>all’analisi a livello di singole regioni</w:t>
      </w:r>
      <w:r>
        <w:rPr>
          <w:rStyle w:val="NessunoA"/>
          <w:rFonts w:ascii="Arial" w:hAnsi="Arial" w:cs="Arial"/>
          <w:u w:color="3B3838"/>
          <w:shd w:val="clear" w:color="auto" w:fill="FFFFFF"/>
        </w:rPr>
        <w:t xml:space="preserve"> </w:t>
      </w:r>
      <w:r w:rsidR="00F6362D">
        <w:rPr>
          <w:rStyle w:val="NessunoA"/>
          <w:rFonts w:ascii="Arial" w:hAnsi="Arial" w:cs="Arial"/>
          <w:u w:color="3B3838"/>
          <w:shd w:val="clear" w:color="auto" w:fill="FFFFFF"/>
        </w:rPr>
        <w:t>che mostra</w:t>
      </w:r>
      <w:r w:rsidR="006545AB" w:rsidRPr="00064461">
        <w:rPr>
          <w:rStyle w:val="NessunoA"/>
          <w:rFonts w:ascii="Arial" w:hAnsi="Arial" w:cs="Arial"/>
          <w:u w:color="3B3838"/>
          <w:shd w:val="clear" w:color="auto" w:fill="FFFFFF"/>
        </w:rPr>
        <w:t xml:space="preserve"> che </w:t>
      </w:r>
      <w:r w:rsidRPr="00412ADD">
        <w:rPr>
          <w:rStyle w:val="NessunoA"/>
          <w:rFonts w:ascii="Arial" w:hAnsi="Arial" w:cs="Arial"/>
          <w:b/>
          <w:bCs/>
          <w:u w:color="3B3838"/>
          <w:shd w:val="clear" w:color="auto" w:fill="FFFFFF"/>
        </w:rPr>
        <w:t xml:space="preserve">quasi tutti i territori regionali </w:t>
      </w:r>
      <w:r w:rsidR="002A48CE" w:rsidRPr="00412ADD">
        <w:rPr>
          <w:rStyle w:val="NessunoA"/>
          <w:rFonts w:ascii="Arial" w:hAnsi="Arial" w:cs="Arial"/>
          <w:b/>
          <w:bCs/>
          <w:u w:color="3B3838"/>
          <w:shd w:val="clear" w:color="auto" w:fill="FFFFFF"/>
        </w:rPr>
        <w:t>registrano</w:t>
      </w:r>
      <w:r w:rsidRPr="00412ADD">
        <w:rPr>
          <w:rStyle w:val="NessunoA"/>
          <w:rFonts w:ascii="Arial" w:hAnsi="Arial" w:cs="Arial"/>
          <w:b/>
          <w:bCs/>
          <w:u w:color="3B3838"/>
          <w:shd w:val="clear" w:color="auto" w:fill="FFFFFF"/>
        </w:rPr>
        <w:t xml:space="preserve"> un incremento</w:t>
      </w:r>
      <w:r w:rsidR="00886F12" w:rsidRPr="00412ADD">
        <w:rPr>
          <w:rStyle w:val="NessunoA"/>
          <w:rFonts w:ascii="Arial" w:hAnsi="Arial" w:cs="Arial"/>
          <w:b/>
          <w:bCs/>
          <w:u w:color="3B3838"/>
          <w:shd w:val="clear" w:color="auto" w:fill="FFFFFF"/>
        </w:rPr>
        <w:t>, o comunque una stabilità,</w:t>
      </w:r>
      <w:r w:rsidRPr="00412ADD">
        <w:rPr>
          <w:rStyle w:val="NessunoA"/>
          <w:rFonts w:ascii="Arial" w:hAnsi="Arial" w:cs="Arial"/>
          <w:b/>
          <w:bCs/>
          <w:u w:color="3B3838"/>
          <w:shd w:val="clear" w:color="auto" w:fill="FFFFFF"/>
        </w:rPr>
        <w:t xml:space="preserve"> nei volumi raccolti</w:t>
      </w:r>
      <w:r>
        <w:rPr>
          <w:rStyle w:val="NessunoA"/>
          <w:rFonts w:ascii="Arial" w:hAnsi="Arial" w:cs="Arial"/>
          <w:u w:color="3B3838"/>
          <w:shd w:val="clear" w:color="auto" w:fill="FFFFFF"/>
        </w:rPr>
        <w:t>, con variazioni superiori al 5% in cinque di esse.</w:t>
      </w:r>
      <w:r w:rsidR="00162E54">
        <w:rPr>
          <w:rStyle w:val="NessunoA"/>
          <w:rFonts w:ascii="Arial" w:hAnsi="Arial" w:cs="Arial"/>
          <w:u w:color="3B3838"/>
          <w:shd w:val="clear" w:color="auto" w:fill="FFFFFF"/>
        </w:rPr>
        <w:t xml:space="preserve"> </w:t>
      </w:r>
      <w:r w:rsidR="00162E54" w:rsidRPr="00B02779">
        <w:rPr>
          <w:rStyle w:val="NessunoA"/>
          <w:rFonts w:ascii="Arial" w:hAnsi="Arial" w:cs="Arial"/>
          <w:u w:color="3B3838"/>
          <w:shd w:val="clear" w:color="auto" w:fill="FFFFFF"/>
        </w:rPr>
        <w:t xml:space="preserve">Si tratta di Valle d’Aosta (+8,7%), Lombardia (+7,8%), </w:t>
      </w:r>
      <w:proofErr w:type="gramStart"/>
      <w:r w:rsidR="00162E54" w:rsidRPr="00B02779">
        <w:rPr>
          <w:rStyle w:val="NessunoA"/>
          <w:rFonts w:ascii="Arial" w:hAnsi="Arial" w:cs="Arial"/>
          <w:u w:color="3B3838"/>
          <w:shd w:val="clear" w:color="auto" w:fill="FFFFFF"/>
        </w:rPr>
        <w:t>Friuli Venezia Giulia</w:t>
      </w:r>
      <w:proofErr w:type="gramEnd"/>
      <w:r w:rsidR="00162E54" w:rsidRPr="00B02779">
        <w:rPr>
          <w:rStyle w:val="NessunoA"/>
          <w:rFonts w:ascii="Arial" w:hAnsi="Arial" w:cs="Arial"/>
          <w:u w:color="3B3838"/>
          <w:shd w:val="clear" w:color="auto" w:fill="FFFFFF"/>
        </w:rPr>
        <w:t xml:space="preserve"> (+6,3%), Veneto (+6,2%) e Basilicata (+5,9%). </w:t>
      </w:r>
    </w:p>
    <w:p w14:paraId="33EE61ED" w14:textId="6B28837E" w:rsidR="001B12F5" w:rsidRDefault="001B12F5" w:rsidP="006545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jc w:val="both"/>
        <w:outlineLvl w:val="0"/>
        <w:rPr>
          <w:rStyle w:val="NessunoA"/>
          <w:rFonts w:ascii="Arial" w:hAnsi="Arial" w:cs="Arial"/>
          <w:u w:color="3B3838"/>
          <w:shd w:val="clear" w:color="auto" w:fill="FFFFFF"/>
        </w:rPr>
      </w:pPr>
      <w:r w:rsidRPr="00B02779">
        <w:rPr>
          <w:rStyle w:val="NessunoA"/>
          <w:rFonts w:ascii="Arial" w:hAnsi="Arial" w:cs="Arial"/>
          <w:u w:color="3B3838"/>
          <w:shd w:val="clear" w:color="auto" w:fill="FFFFFF"/>
        </w:rPr>
        <w:t>Fanno eccezione tre regioni</w:t>
      </w:r>
      <w:r w:rsidR="002A48CE" w:rsidRPr="00B02779">
        <w:rPr>
          <w:rStyle w:val="NessunoA"/>
          <w:rFonts w:ascii="Arial" w:hAnsi="Arial" w:cs="Arial"/>
          <w:u w:color="3B3838"/>
          <w:shd w:val="clear" w:color="auto" w:fill="FFFFFF"/>
        </w:rPr>
        <w:t>:</w:t>
      </w:r>
      <w:r w:rsidRPr="00B02779">
        <w:rPr>
          <w:rStyle w:val="NessunoA"/>
          <w:rFonts w:ascii="Arial" w:hAnsi="Arial" w:cs="Arial"/>
          <w:u w:color="3B3838"/>
          <w:shd w:val="clear" w:color="auto" w:fill="FFFFFF"/>
        </w:rPr>
        <w:t xml:space="preserve"> Molise (-17,7%), </w:t>
      </w:r>
      <w:proofErr w:type="gramStart"/>
      <w:r w:rsidRPr="00B02779">
        <w:rPr>
          <w:rStyle w:val="NessunoA"/>
          <w:rFonts w:ascii="Arial" w:hAnsi="Arial" w:cs="Arial"/>
          <w:u w:color="3B3838"/>
          <w:shd w:val="clear" w:color="auto" w:fill="FFFFFF"/>
        </w:rPr>
        <w:t>Emilia Romagna</w:t>
      </w:r>
      <w:proofErr w:type="gramEnd"/>
      <w:r w:rsidRPr="00B02779">
        <w:rPr>
          <w:rStyle w:val="NessunoA"/>
          <w:rFonts w:ascii="Arial" w:hAnsi="Arial" w:cs="Arial"/>
          <w:u w:color="3B3838"/>
          <w:shd w:val="clear" w:color="auto" w:fill="FFFFFF"/>
        </w:rPr>
        <w:t xml:space="preserve"> </w:t>
      </w:r>
      <w:r w:rsidR="00DC1727" w:rsidRPr="00B02779">
        <w:rPr>
          <w:rStyle w:val="NessunoA"/>
          <w:rFonts w:ascii="Arial" w:hAnsi="Arial" w:cs="Arial"/>
          <w:u w:color="3B3838"/>
          <w:shd w:val="clear" w:color="auto" w:fill="FFFFFF"/>
        </w:rPr>
        <w:t>(-3,2%) e Calabria (-1,9%).</w:t>
      </w:r>
    </w:p>
    <w:p w14:paraId="5D815233" w14:textId="77777777" w:rsidR="001B12F5" w:rsidRPr="001B12F5" w:rsidRDefault="001B12F5" w:rsidP="006545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jc w:val="both"/>
        <w:outlineLvl w:val="0"/>
        <w:rPr>
          <w:rFonts w:ascii="Arial" w:hAnsi="Arial" w:cs="Arial"/>
          <w:u w:color="3B3838"/>
          <w:shd w:val="clear" w:color="auto" w:fill="FFFFFF"/>
        </w:rPr>
      </w:pPr>
    </w:p>
    <w:p w14:paraId="1C69B59F" w14:textId="5F12FE91" w:rsidR="00886F12" w:rsidRDefault="00886F12" w:rsidP="00914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jc w:val="both"/>
        <w:outlineLvl w:val="0"/>
        <w:rPr>
          <w:rStyle w:val="NessunoA"/>
          <w:rFonts w:ascii="Arial" w:hAnsi="Arial" w:cs="Arial"/>
          <w:u w:color="3B3838"/>
          <w:shd w:val="clear" w:color="auto" w:fill="FFFFFF"/>
        </w:rPr>
      </w:pPr>
      <w:r>
        <w:rPr>
          <w:rStyle w:val="NessunoA"/>
          <w:rFonts w:ascii="Arial" w:hAnsi="Arial" w:cs="Arial"/>
          <w:u w:color="3B3838"/>
          <w:shd w:val="clear" w:color="auto" w:fill="FFFFFF"/>
        </w:rPr>
        <w:t xml:space="preserve">L’analisi </w:t>
      </w:r>
      <w:r w:rsidR="006545AB" w:rsidRPr="00064461">
        <w:rPr>
          <w:rStyle w:val="NessunoA"/>
          <w:rFonts w:ascii="Arial" w:hAnsi="Arial" w:cs="Arial"/>
          <w:u w:color="3B3838"/>
          <w:shd w:val="clear" w:color="auto" w:fill="FFFFFF"/>
        </w:rPr>
        <w:t>in termini di macroaree</w:t>
      </w:r>
      <w:r>
        <w:rPr>
          <w:rStyle w:val="NessunoA"/>
          <w:rFonts w:ascii="Arial" w:hAnsi="Arial" w:cs="Arial"/>
          <w:u w:color="3B3838"/>
          <w:shd w:val="clear" w:color="auto" w:fill="FFFFFF"/>
        </w:rPr>
        <w:t xml:space="preserve"> mostra</w:t>
      </w:r>
      <w:r w:rsidR="002A48CE">
        <w:rPr>
          <w:rStyle w:val="NessunoA"/>
          <w:rFonts w:ascii="Arial" w:hAnsi="Arial" w:cs="Arial"/>
          <w:u w:color="3B3838"/>
          <w:shd w:val="clear" w:color="auto" w:fill="FFFFFF"/>
        </w:rPr>
        <w:t xml:space="preserve"> invece</w:t>
      </w:r>
      <w:r>
        <w:rPr>
          <w:rStyle w:val="NessunoA"/>
          <w:rFonts w:ascii="Arial" w:hAnsi="Arial" w:cs="Arial"/>
          <w:u w:color="3B3838"/>
          <w:shd w:val="clear" w:color="auto" w:fill="FFFFFF"/>
        </w:rPr>
        <w:t xml:space="preserve"> che </w:t>
      </w:r>
      <w:r w:rsidRPr="003C3D1F">
        <w:rPr>
          <w:rStyle w:val="NessunoA"/>
          <w:rFonts w:ascii="Arial" w:hAnsi="Arial" w:cs="Arial"/>
          <w:b/>
          <w:bCs/>
          <w:u w:color="3B3838"/>
          <w:shd w:val="clear" w:color="auto" w:fill="FFFFFF"/>
        </w:rPr>
        <w:t>a trainare la raccolta nazionale è stato il Nord Italia</w:t>
      </w:r>
      <w:r w:rsidR="00064461">
        <w:rPr>
          <w:rStyle w:val="NessunoA"/>
          <w:rFonts w:ascii="Arial" w:hAnsi="Arial" w:cs="Arial"/>
          <w:u w:color="3B3838"/>
          <w:shd w:val="clear" w:color="auto" w:fill="FFFFFF"/>
        </w:rPr>
        <w:t xml:space="preserve"> </w:t>
      </w:r>
      <w:r w:rsidR="00BA792C">
        <w:rPr>
          <w:rStyle w:val="NessunoA"/>
          <w:rFonts w:ascii="Arial" w:hAnsi="Arial" w:cs="Arial"/>
          <w:u w:color="3B3838"/>
          <w:shd w:val="clear" w:color="auto" w:fill="FFFFFF"/>
        </w:rPr>
        <w:t xml:space="preserve">con un incremento del </w:t>
      </w:r>
      <w:r w:rsidR="007D56C7">
        <w:rPr>
          <w:rStyle w:val="NessunoA"/>
          <w:rFonts w:ascii="Arial" w:hAnsi="Arial" w:cs="Arial"/>
          <w:u w:color="3B3838"/>
          <w:shd w:val="clear" w:color="auto" w:fill="FFFFFF"/>
        </w:rPr>
        <w:t>4,1</w:t>
      </w:r>
      <w:r w:rsidR="00BA792C">
        <w:rPr>
          <w:rStyle w:val="NessunoA"/>
          <w:rFonts w:ascii="Arial" w:hAnsi="Arial" w:cs="Arial"/>
          <w:u w:color="3B3838"/>
          <w:shd w:val="clear" w:color="auto" w:fill="FFFFFF"/>
        </w:rPr>
        <w:t xml:space="preserve">% rispetto al 2023, seguito dal </w:t>
      </w:r>
      <w:r w:rsidR="0046564D">
        <w:rPr>
          <w:rStyle w:val="NessunoA"/>
          <w:rFonts w:ascii="Arial" w:hAnsi="Arial" w:cs="Arial"/>
          <w:u w:color="3B3838"/>
          <w:shd w:val="clear" w:color="auto" w:fill="FFFFFF"/>
        </w:rPr>
        <w:t xml:space="preserve">Centro </w:t>
      </w:r>
      <w:r w:rsidR="00BA792C">
        <w:rPr>
          <w:rStyle w:val="NessunoA"/>
          <w:rFonts w:ascii="Arial" w:hAnsi="Arial" w:cs="Arial"/>
          <w:u w:color="3B3838"/>
          <w:shd w:val="clear" w:color="auto" w:fill="FFFFFF"/>
        </w:rPr>
        <w:t>Italia con il +</w:t>
      </w:r>
      <w:r w:rsidR="0046564D">
        <w:rPr>
          <w:rStyle w:val="NessunoA"/>
          <w:rFonts w:ascii="Arial" w:hAnsi="Arial" w:cs="Arial"/>
          <w:u w:color="3B3838"/>
          <w:shd w:val="clear" w:color="auto" w:fill="FFFFFF"/>
        </w:rPr>
        <w:t>1,8</w:t>
      </w:r>
      <w:r w:rsidR="00BA792C">
        <w:rPr>
          <w:rStyle w:val="NessunoA"/>
          <w:rFonts w:ascii="Arial" w:hAnsi="Arial" w:cs="Arial"/>
          <w:u w:color="3B3838"/>
          <w:shd w:val="clear" w:color="auto" w:fill="FFFFFF"/>
        </w:rPr>
        <w:t xml:space="preserve">%. </w:t>
      </w:r>
      <w:r w:rsidR="0046564D">
        <w:rPr>
          <w:rStyle w:val="NessunoA"/>
          <w:rFonts w:ascii="Arial" w:hAnsi="Arial" w:cs="Arial"/>
          <w:u w:color="3B3838"/>
          <w:shd w:val="clear" w:color="auto" w:fill="FFFFFF"/>
        </w:rPr>
        <w:t xml:space="preserve">In leggero </w:t>
      </w:r>
      <w:r w:rsidR="00C01493">
        <w:rPr>
          <w:rStyle w:val="NessunoA"/>
          <w:rFonts w:ascii="Arial" w:hAnsi="Arial" w:cs="Arial"/>
          <w:u w:color="3B3838"/>
          <w:shd w:val="clear" w:color="auto" w:fill="FFFFFF"/>
        </w:rPr>
        <w:t>calo</w:t>
      </w:r>
      <w:r w:rsidR="00BA792C">
        <w:rPr>
          <w:rStyle w:val="NessunoA"/>
          <w:rFonts w:ascii="Arial" w:hAnsi="Arial" w:cs="Arial"/>
          <w:u w:color="3B3838"/>
          <w:shd w:val="clear" w:color="auto" w:fill="FFFFFF"/>
        </w:rPr>
        <w:t xml:space="preserve"> (</w:t>
      </w:r>
      <w:r w:rsidR="00C01493">
        <w:rPr>
          <w:rStyle w:val="NessunoA"/>
          <w:rFonts w:ascii="Arial" w:hAnsi="Arial" w:cs="Arial"/>
          <w:u w:color="3B3838"/>
          <w:shd w:val="clear" w:color="auto" w:fill="FFFFFF"/>
        </w:rPr>
        <w:t>-0,2</w:t>
      </w:r>
      <w:r w:rsidR="00BA792C">
        <w:rPr>
          <w:rStyle w:val="NessunoA"/>
          <w:rFonts w:ascii="Arial" w:hAnsi="Arial" w:cs="Arial"/>
          <w:u w:color="3B3838"/>
          <w:shd w:val="clear" w:color="auto" w:fill="FFFFFF"/>
        </w:rPr>
        <w:t xml:space="preserve">%) invece </w:t>
      </w:r>
      <w:r w:rsidR="00572FB7">
        <w:rPr>
          <w:rStyle w:val="NessunoA"/>
          <w:rFonts w:ascii="Arial" w:hAnsi="Arial" w:cs="Arial"/>
          <w:u w:color="3B3838"/>
          <w:shd w:val="clear" w:color="auto" w:fill="FFFFFF"/>
        </w:rPr>
        <w:t>il</w:t>
      </w:r>
      <w:r w:rsidR="00BA792C">
        <w:rPr>
          <w:rStyle w:val="NessunoA"/>
          <w:rFonts w:ascii="Arial" w:hAnsi="Arial" w:cs="Arial"/>
          <w:u w:color="3B3838"/>
          <w:shd w:val="clear" w:color="auto" w:fill="FFFFFF"/>
        </w:rPr>
        <w:t xml:space="preserve"> contributo del </w:t>
      </w:r>
      <w:r w:rsidR="00C01493">
        <w:rPr>
          <w:rStyle w:val="NessunoA"/>
          <w:rFonts w:ascii="Arial" w:hAnsi="Arial" w:cs="Arial"/>
          <w:u w:color="3B3838"/>
          <w:shd w:val="clear" w:color="auto" w:fill="FFFFFF"/>
        </w:rPr>
        <w:t xml:space="preserve">Sud </w:t>
      </w:r>
      <w:r w:rsidR="00BA792C">
        <w:rPr>
          <w:rStyle w:val="NessunoA"/>
          <w:rFonts w:ascii="Arial" w:hAnsi="Arial" w:cs="Arial"/>
          <w:u w:color="3B3838"/>
          <w:shd w:val="clear" w:color="auto" w:fill="FFFFFF"/>
        </w:rPr>
        <w:t>Italia.</w:t>
      </w:r>
    </w:p>
    <w:p w14:paraId="21612326" w14:textId="77777777" w:rsidR="00892935" w:rsidRDefault="00892935" w:rsidP="00914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jc w:val="both"/>
        <w:outlineLvl w:val="0"/>
        <w:rPr>
          <w:rStyle w:val="NessunoA"/>
          <w:rFonts w:ascii="Arial" w:hAnsi="Arial" w:cs="Arial"/>
          <w:u w:color="3B3838"/>
          <w:shd w:val="clear" w:color="auto" w:fill="FFFFFF"/>
        </w:rPr>
      </w:pPr>
    </w:p>
    <w:p w14:paraId="49301062" w14:textId="01F564AA" w:rsidR="00886F12" w:rsidRPr="00BA792C" w:rsidRDefault="00BA792C" w:rsidP="008929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spacing w:line="276" w:lineRule="auto"/>
        <w:jc w:val="both"/>
        <w:outlineLvl w:val="0"/>
        <w:rPr>
          <w:rStyle w:val="NessunoA"/>
          <w:rFonts w:ascii="Arial" w:hAnsi="Arial" w:cs="Arial"/>
          <w:u w:val="single"/>
          <w:shd w:val="clear" w:color="auto" w:fill="FFFFFF"/>
        </w:rPr>
      </w:pPr>
      <w:r w:rsidRPr="00BA792C">
        <w:rPr>
          <w:rStyle w:val="NessunoA"/>
          <w:rFonts w:ascii="Arial" w:hAnsi="Arial" w:cs="Arial"/>
          <w:u w:val="single"/>
          <w:shd w:val="clear" w:color="auto" w:fill="FFFFFF"/>
        </w:rPr>
        <w:t>Nord Italia</w:t>
      </w:r>
    </w:p>
    <w:p w14:paraId="30E3B561" w14:textId="7A5F5F9C" w:rsidR="003C3D1F" w:rsidRDefault="00BA792C" w:rsidP="008929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jc w:val="both"/>
        <w:outlineLvl w:val="0"/>
        <w:rPr>
          <w:rFonts w:ascii="Arial" w:hAnsi="Arial" w:cs="Arial"/>
        </w:rPr>
      </w:pPr>
      <w:r>
        <w:rPr>
          <w:rStyle w:val="NessunoA"/>
          <w:rFonts w:ascii="Arial" w:hAnsi="Arial" w:cs="Arial"/>
          <w:u w:color="3B3838"/>
          <w:shd w:val="clear" w:color="auto" w:fill="FFFFFF"/>
        </w:rPr>
        <w:t>In forza di questa performa</w:t>
      </w:r>
      <w:r w:rsidR="003C3D1F">
        <w:rPr>
          <w:rStyle w:val="NessunoA"/>
          <w:rFonts w:ascii="Arial" w:hAnsi="Arial" w:cs="Arial"/>
          <w:u w:color="3B3838"/>
          <w:shd w:val="clear" w:color="auto" w:fill="FFFFFF"/>
        </w:rPr>
        <w:t>n</w:t>
      </w:r>
      <w:r>
        <w:rPr>
          <w:rStyle w:val="NessunoA"/>
          <w:rFonts w:ascii="Arial" w:hAnsi="Arial" w:cs="Arial"/>
          <w:u w:color="3B3838"/>
          <w:shd w:val="clear" w:color="auto" w:fill="FFFFFF"/>
        </w:rPr>
        <w:t>ce,</w:t>
      </w:r>
      <w:r w:rsidR="000C06B0" w:rsidRPr="00064461">
        <w:rPr>
          <w:rStyle w:val="NessunoA"/>
          <w:rFonts w:ascii="Arial" w:hAnsi="Arial" w:cs="Arial"/>
          <w:u w:color="3B3838"/>
          <w:shd w:val="clear" w:color="auto" w:fill="FFFFFF"/>
        </w:rPr>
        <w:t xml:space="preserve"> </w:t>
      </w:r>
      <w:r w:rsidR="000C06B0" w:rsidRPr="00064461">
        <w:rPr>
          <w:rFonts w:ascii="Arial" w:hAnsi="Arial" w:cs="Arial"/>
        </w:rPr>
        <w:t>l</w:t>
      </w:r>
      <w:r w:rsidR="00471E50" w:rsidRPr="00064461">
        <w:rPr>
          <w:rFonts w:ascii="Arial" w:hAnsi="Arial" w:cs="Arial"/>
        </w:rPr>
        <w:t xml:space="preserve">e </w:t>
      </w:r>
      <w:r w:rsidR="00471E50" w:rsidRPr="00064461">
        <w:rPr>
          <w:rFonts w:ascii="Arial" w:hAnsi="Arial" w:cs="Arial"/>
          <w:b/>
          <w:bCs/>
        </w:rPr>
        <w:t>regioni del Nord</w:t>
      </w:r>
      <w:r w:rsidR="00471E50" w:rsidRPr="000644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consolidano</w:t>
      </w:r>
      <w:r w:rsidR="000C06B0" w:rsidRPr="00064461">
        <w:rPr>
          <w:rFonts w:ascii="Arial" w:hAnsi="Arial" w:cs="Arial"/>
        </w:rPr>
        <w:t xml:space="preserve"> il </w:t>
      </w:r>
      <w:r w:rsidR="000C06B0" w:rsidRPr="00F6362D">
        <w:rPr>
          <w:rFonts w:ascii="Arial" w:hAnsi="Arial" w:cs="Arial"/>
          <w:b/>
          <w:bCs/>
        </w:rPr>
        <w:t xml:space="preserve">primato </w:t>
      </w:r>
      <w:r w:rsidR="00F6362D" w:rsidRPr="00F6362D">
        <w:rPr>
          <w:rFonts w:ascii="Arial" w:hAnsi="Arial" w:cs="Arial"/>
          <w:b/>
          <w:bCs/>
        </w:rPr>
        <w:t xml:space="preserve">per </w:t>
      </w:r>
      <w:r w:rsidR="000C06B0" w:rsidRPr="00F6362D">
        <w:rPr>
          <w:rFonts w:ascii="Arial" w:hAnsi="Arial" w:cs="Arial"/>
          <w:b/>
          <w:bCs/>
        </w:rPr>
        <w:t xml:space="preserve">volumi </w:t>
      </w:r>
      <w:r w:rsidR="00F9156E" w:rsidRPr="00F6362D">
        <w:rPr>
          <w:rFonts w:ascii="Arial" w:hAnsi="Arial" w:cs="Arial"/>
          <w:b/>
          <w:bCs/>
        </w:rPr>
        <w:t xml:space="preserve">di raccolta </w:t>
      </w:r>
      <w:r w:rsidR="000C06B0" w:rsidRPr="00F6362D">
        <w:rPr>
          <w:rFonts w:ascii="Arial" w:hAnsi="Arial" w:cs="Arial"/>
          <w:b/>
          <w:bCs/>
        </w:rPr>
        <w:t>complessiv</w:t>
      </w:r>
      <w:r w:rsidR="00064461" w:rsidRPr="00F6362D">
        <w:rPr>
          <w:rFonts w:ascii="Arial" w:hAnsi="Arial" w:cs="Arial"/>
          <w:b/>
          <w:bCs/>
        </w:rPr>
        <w:t>a</w:t>
      </w:r>
      <w:r w:rsidR="000C06B0" w:rsidRPr="00064461">
        <w:rPr>
          <w:rFonts w:ascii="Arial" w:hAnsi="Arial" w:cs="Arial"/>
        </w:rPr>
        <w:t xml:space="preserve">, </w:t>
      </w:r>
      <w:r w:rsidR="00BA2C14" w:rsidRPr="00064461">
        <w:rPr>
          <w:rFonts w:ascii="Arial" w:hAnsi="Arial" w:cs="Arial"/>
        </w:rPr>
        <w:t>pari a 18</w:t>
      </w:r>
      <w:r w:rsidR="00BC7EEF">
        <w:rPr>
          <w:rFonts w:ascii="Arial" w:hAnsi="Arial" w:cs="Arial"/>
        </w:rPr>
        <w:t>8</w:t>
      </w:r>
      <w:r w:rsidR="00BA2C14" w:rsidRPr="00064461">
        <w:rPr>
          <w:rFonts w:ascii="Arial" w:hAnsi="Arial" w:cs="Arial"/>
        </w:rPr>
        <w:t>.</w:t>
      </w:r>
      <w:r w:rsidR="00572FB7">
        <w:rPr>
          <w:rFonts w:ascii="Arial" w:hAnsi="Arial" w:cs="Arial"/>
        </w:rPr>
        <w:t>8</w:t>
      </w:r>
      <w:r w:rsidR="00BC7EEF">
        <w:rPr>
          <w:rFonts w:ascii="Arial" w:hAnsi="Arial" w:cs="Arial"/>
        </w:rPr>
        <w:t>60</w:t>
      </w:r>
      <w:r w:rsidR="00BA2C14">
        <w:rPr>
          <w:rFonts w:ascii="Arial" w:hAnsi="Arial" w:cs="Arial"/>
        </w:rPr>
        <w:t xml:space="preserve"> tonnellate</w:t>
      </w:r>
      <w:r w:rsidR="003C3D1F">
        <w:rPr>
          <w:rFonts w:ascii="Arial" w:hAnsi="Arial" w:cs="Arial"/>
        </w:rPr>
        <w:t>,</w:t>
      </w:r>
      <w:r w:rsidR="00BA2C14">
        <w:rPr>
          <w:rFonts w:ascii="Arial" w:hAnsi="Arial" w:cs="Arial"/>
        </w:rPr>
        <w:t xml:space="preserve"> </w:t>
      </w:r>
      <w:r w:rsidR="003C3D1F">
        <w:rPr>
          <w:rFonts w:ascii="Arial" w:hAnsi="Arial" w:cs="Arial"/>
        </w:rPr>
        <w:t xml:space="preserve">che porta al </w:t>
      </w:r>
      <w:r w:rsidR="00E062C2" w:rsidRPr="00E062C2">
        <w:rPr>
          <w:rFonts w:ascii="Arial" w:hAnsi="Arial" w:cs="Arial"/>
          <w:color w:val="000000" w:themeColor="text1"/>
        </w:rPr>
        <w:t>52,7</w:t>
      </w:r>
      <w:r w:rsidR="003C3D1F" w:rsidRPr="00E062C2">
        <w:rPr>
          <w:rFonts w:ascii="Arial" w:hAnsi="Arial" w:cs="Arial"/>
          <w:color w:val="000000" w:themeColor="text1"/>
        </w:rPr>
        <w:t xml:space="preserve">% </w:t>
      </w:r>
      <w:r w:rsidR="003C3D1F">
        <w:rPr>
          <w:rFonts w:ascii="Arial" w:hAnsi="Arial" w:cs="Arial"/>
        </w:rPr>
        <w:t xml:space="preserve">l’incidenza sulla raccolta nazionale, e </w:t>
      </w:r>
      <w:r w:rsidR="002A48CE">
        <w:rPr>
          <w:rFonts w:ascii="Arial" w:hAnsi="Arial" w:cs="Arial"/>
          <w:b/>
          <w:bCs/>
        </w:rPr>
        <w:t>nella</w:t>
      </w:r>
      <w:r w:rsidR="003C3D1F" w:rsidRPr="00F6362D">
        <w:rPr>
          <w:rFonts w:ascii="Arial" w:hAnsi="Arial" w:cs="Arial"/>
          <w:b/>
          <w:bCs/>
        </w:rPr>
        <w:t xml:space="preserve"> raccolta pro capite</w:t>
      </w:r>
      <w:r w:rsidR="003C3D1F">
        <w:rPr>
          <w:rFonts w:ascii="Arial" w:hAnsi="Arial" w:cs="Arial"/>
        </w:rPr>
        <w:t xml:space="preserve"> </w:t>
      </w:r>
      <w:r w:rsidR="003C3D1F" w:rsidRPr="002A48CE">
        <w:rPr>
          <w:rFonts w:ascii="Arial" w:hAnsi="Arial" w:cs="Arial"/>
          <w:b/>
          <w:bCs/>
        </w:rPr>
        <w:t>(6,</w:t>
      </w:r>
      <w:r w:rsidR="00572FB7" w:rsidRPr="002A48CE">
        <w:rPr>
          <w:rFonts w:ascii="Arial" w:hAnsi="Arial" w:cs="Arial"/>
          <w:b/>
          <w:bCs/>
        </w:rPr>
        <w:t>87</w:t>
      </w:r>
      <w:r w:rsidR="003C3D1F" w:rsidRPr="002A48CE">
        <w:rPr>
          <w:rFonts w:ascii="Arial" w:hAnsi="Arial" w:cs="Arial"/>
          <w:b/>
          <w:bCs/>
        </w:rPr>
        <w:t xml:space="preserve"> kg/ab)</w:t>
      </w:r>
      <w:r w:rsidR="003C3D1F">
        <w:rPr>
          <w:rFonts w:ascii="Arial" w:hAnsi="Arial" w:cs="Arial"/>
        </w:rPr>
        <w:t xml:space="preserve">, superiore alla media nazionale. </w:t>
      </w:r>
    </w:p>
    <w:p w14:paraId="26290E98" w14:textId="49294A1A" w:rsidR="00D5746F" w:rsidRDefault="00146046" w:rsidP="00914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Con 67.5</w:t>
      </w:r>
      <w:r w:rsidR="00E11A25">
        <w:rPr>
          <w:rFonts w:ascii="Arial" w:hAnsi="Arial" w:cs="Arial"/>
        </w:rPr>
        <w:t>77</w:t>
      </w:r>
      <w:r>
        <w:rPr>
          <w:rFonts w:ascii="Arial" w:hAnsi="Arial" w:cs="Arial"/>
        </w:rPr>
        <w:t xml:space="preserve"> tonnellate, la Lombardia mantiene saldamente il primo posto per </w:t>
      </w:r>
      <w:r w:rsidR="00D5746F">
        <w:rPr>
          <w:rFonts w:ascii="Arial" w:hAnsi="Arial" w:cs="Arial"/>
        </w:rPr>
        <w:t>volumi totali raccolti mentre la Valle d’Aosta s</w:t>
      </w:r>
      <w:r w:rsidR="00D5746F" w:rsidRPr="00064461">
        <w:rPr>
          <w:rFonts w:ascii="Arial" w:hAnsi="Arial" w:cs="Arial"/>
        </w:rPr>
        <w:t xml:space="preserve">i conferma </w:t>
      </w:r>
      <w:r w:rsidR="00D5746F" w:rsidRPr="0091485D">
        <w:rPr>
          <w:rFonts w:ascii="Arial" w:hAnsi="Arial" w:cs="Arial"/>
          <w:b/>
          <w:bCs/>
        </w:rPr>
        <w:t xml:space="preserve">prima per raccolta pro capite </w:t>
      </w:r>
      <w:r w:rsidR="00D5746F">
        <w:rPr>
          <w:rFonts w:ascii="Arial" w:hAnsi="Arial" w:cs="Arial"/>
          <w:b/>
          <w:bCs/>
        </w:rPr>
        <w:t>a livello di area</w:t>
      </w:r>
      <w:r w:rsidR="00572FB7">
        <w:rPr>
          <w:rFonts w:ascii="Arial" w:hAnsi="Arial" w:cs="Arial"/>
          <w:b/>
          <w:bCs/>
        </w:rPr>
        <w:t xml:space="preserve"> con 10,34 kg/ab</w:t>
      </w:r>
      <w:r w:rsidR="00D5746F">
        <w:rPr>
          <w:rFonts w:ascii="Arial" w:hAnsi="Arial" w:cs="Arial"/>
          <w:b/>
          <w:bCs/>
        </w:rPr>
        <w:t>, ma soprattutto riconquista il primo posto nel ranking nazionale</w:t>
      </w:r>
      <w:r w:rsidR="008C1CF3">
        <w:rPr>
          <w:rFonts w:ascii="Arial" w:hAnsi="Arial" w:cs="Arial"/>
          <w:b/>
          <w:bCs/>
        </w:rPr>
        <w:t>.</w:t>
      </w:r>
      <w:r w:rsidR="00D5746F">
        <w:rPr>
          <w:rFonts w:ascii="Arial" w:hAnsi="Arial" w:cs="Arial"/>
        </w:rPr>
        <w:t xml:space="preserve"> </w:t>
      </w:r>
    </w:p>
    <w:p w14:paraId="7478DB2B" w14:textId="4010B666" w:rsidR="00D5746F" w:rsidRDefault="00146046" w:rsidP="00914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Accanto alle già citate Valle d’Aosta, Lombardia, Friuli Venezi Giulia, Veneto ed </w:t>
      </w:r>
      <w:proofErr w:type="gramStart"/>
      <w:r>
        <w:rPr>
          <w:rFonts w:ascii="Arial" w:hAnsi="Arial" w:cs="Arial"/>
        </w:rPr>
        <w:t>Emilia Romagna</w:t>
      </w:r>
      <w:proofErr w:type="gramEnd"/>
      <w:r>
        <w:rPr>
          <w:rFonts w:ascii="Arial" w:hAnsi="Arial" w:cs="Arial"/>
        </w:rPr>
        <w:t xml:space="preserve">, le restanti regioni </w:t>
      </w:r>
      <w:r w:rsidR="002A48CE">
        <w:rPr>
          <w:rFonts w:ascii="Arial" w:hAnsi="Arial" w:cs="Arial"/>
        </w:rPr>
        <w:t>del Nord</w:t>
      </w:r>
      <w:r>
        <w:rPr>
          <w:rFonts w:ascii="Arial" w:hAnsi="Arial" w:cs="Arial"/>
        </w:rPr>
        <w:t xml:space="preserve"> </w:t>
      </w:r>
      <w:r w:rsidR="00D5746F">
        <w:rPr>
          <w:rFonts w:ascii="Arial" w:hAnsi="Arial" w:cs="Arial"/>
        </w:rPr>
        <w:t>registrano</w:t>
      </w:r>
      <w:r>
        <w:rPr>
          <w:rFonts w:ascii="Arial" w:hAnsi="Arial" w:cs="Arial"/>
        </w:rPr>
        <w:t xml:space="preserve"> tutte incrementi nell</w:t>
      </w:r>
      <w:r w:rsidR="00D5746F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raccolt</w:t>
      </w:r>
      <w:r w:rsidR="00D5746F">
        <w:rPr>
          <w:rFonts w:ascii="Arial" w:hAnsi="Arial" w:cs="Arial"/>
        </w:rPr>
        <w:t xml:space="preserve">a, seppure più contenuti: </w:t>
      </w:r>
      <w:r w:rsidR="00EF3DCC">
        <w:rPr>
          <w:rFonts w:ascii="Arial" w:hAnsi="Arial" w:cs="Arial"/>
        </w:rPr>
        <w:t>Trentino Alto Adige +4,7%</w:t>
      </w:r>
      <w:r w:rsidR="00D5746F">
        <w:rPr>
          <w:rFonts w:ascii="Arial" w:hAnsi="Arial" w:cs="Arial"/>
        </w:rPr>
        <w:t>, Piemonte +</w:t>
      </w:r>
      <w:r w:rsidR="00EF3DCC">
        <w:rPr>
          <w:rFonts w:ascii="Arial" w:hAnsi="Arial" w:cs="Arial"/>
        </w:rPr>
        <w:t>2%, Liguria +0,8%.</w:t>
      </w:r>
    </w:p>
    <w:p w14:paraId="0BAF4C84" w14:textId="32217FD3" w:rsidR="003C3D1F" w:rsidRDefault="00EF3DCC" w:rsidP="00914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Tutte confermano valori di raccolta pro capite superior</w:t>
      </w:r>
      <w:r w:rsidR="002A48CE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alla media nazionale e tra le prime dieci a livello nazionale</w:t>
      </w:r>
      <w:r w:rsidR="002A48C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con un range compreso tra </w:t>
      </w:r>
      <w:r w:rsidR="006F6A9C">
        <w:rPr>
          <w:rFonts w:ascii="Arial" w:hAnsi="Arial" w:cs="Arial"/>
        </w:rPr>
        <w:t>10,34</w:t>
      </w:r>
      <w:r>
        <w:rPr>
          <w:rFonts w:ascii="Arial" w:hAnsi="Arial" w:cs="Arial"/>
        </w:rPr>
        <w:t xml:space="preserve"> kg/ab della </w:t>
      </w:r>
      <w:r w:rsidR="006F6A9C">
        <w:rPr>
          <w:rFonts w:ascii="Arial" w:hAnsi="Arial" w:cs="Arial"/>
        </w:rPr>
        <w:t>Valle d’Aosta</w:t>
      </w:r>
      <w:r>
        <w:rPr>
          <w:rFonts w:ascii="Arial" w:hAnsi="Arial" w:cs="Arial"/>
        </w:rPr>
        <w:t xml:space="preserve"> (</w:t>
      </w:r>
      <w:r w:rsidR="006F6A9C">
        <w:rPr>
          <w:rFonts w:ascii="Arial" w:hAnsi="Arial" w:cs="Arial"/>
        </w:rPr>
        <w:t>prima</w:t>
      </w:r>
      <w:r>
        <w:rPr>
          <w:rFonts w:ascii="Arial" w:hAnsi="Arial" w:cs="Arial"/>
        </w:rPr>
        <w:t xml:space="preserve">) </w:t>
      </w:r>
      <w:r w:rsidR="002A48CE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6,75 kg/ab della Lombardia (decima). Fa eccezione il Piemonte che nonostante il +2,2% si ferma a 5,</w:t>
      </w:r>
      <w:r w:rsidR="00ED44A3">
        <w:rPr>
          <w:rFonts w:ascii="Arial" w:hAnsi="Arial" w:cs="Arial"/>
        </w:rPr>
        <w:t>56</w:t>
      </w:r>
      <w:r>
        <w:rPr>
          <w:rFonts w:ascii="Arial" w:hAnsi="Arial" w:cs="Arial"/>
        </w:rPr>
        <w:t xml:space="preserve"> kg/ab</w:t>
      </w:r>
      <w:r w:rsidR="00ED44A3">
        <w:rPr>
          <w:rFonts w:ascii="Arial" w:hAnsi="Arial" w:cs="Arial"/>
        </w:rPr>
        <w:t>.</w:t>
      </w:r>
    </w:p>
    <w:p w14:paraId="5DFEC63F" w14:textId="30F29A7A" w:rsidR="00471E50" w:rsidRPr="00064461" w:rsidRDefault="00471E50" w:rsidP="000C06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jc w:val="both"/>
        <w:outlineLvl w:val="0"/>
        <w:rPr>
          <w:rFonts w:ascii="Arial" w:hAnsi="Arial" w:cs="Arial"/>
          <w:u w:color="3B3838"/>
          <w:shd w:val="clear" w:color="auto" w:fill="FFFFFF"/>
        </w:rPr>
      </w:pPr>
    </w:p>
    <w:p w14:paraId="4A4B511E" w14:textId="4673DA6B" w:rsidR="00892935" w:rsidRPr="00892935" w:rsidRDefault="00ED44A3" w:rsidP="008929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spacing w:line="276" w:lineRule="auto"/>
        <w:jc w:val="both"/>
        <w:outlineLvl w:val="0"/>
        <w:rPr>
          <w:rFonts w:ascii="Arial" w:hAnsi="Arial" w:cs="Arial"/>
          <w:u w:val="single"/>
        </w:rPr>
      </w:pPr>
      <w:r w:rsidRPr="00ED44A3">
        <w:rPr>
          <w:rFonts w:ascii="Arial" w:hAnsi="Arial" w:cs="Arial"/>
          <w:u w:val="single"/>
        </w:rPr>
        <w:t>Centro Italia</w:t>
      </w:r>
    </w:p>
    <w:p w14:paraId="4F6AD00B" w14:textId="7F4C5CA7" w:rsidR="00567025" w:rsidRDefault="00E67B53" w:rsidP="005670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jc w:val="both"/>
        <w:outlineLvl w:val="0"/>
        <w:rPr>
          <w:rFonts w:ascii="Arial" w:hAnsi="Arial" w:cs="Arial"/>
        </w:rPr>
      </w:pPr>
      <w:r w:rsidRPr="00064461">
        <w:rPr>
          <w:rFonts w:ascii="Arial" w:hAnsi="Arial" w:cs="Arial"/>
        </w:rPr>
        <w:t xml:space="preserve">La raccolta del </w:t>
      </w:r>
      <w:r w:rsidRPr="00064461">
        <w:rPr>
          <w:rFonts w:ascii="Arial" w:hAnsi="Arial" w:cs="Arial"/>
          <w:b/>
          <w:bCs/>
        </w:rPr>
        <w:t>Centro Italia</w:t>
      </w:r>
      <w:r w:rsidRPr="00064461">
        <w:rPr>
          <w:rFonts w:ascii="Arial" w:hAnsi="Arial" w:cs="Arial"/>
        </w:rPr>
        <w:t xml:space="preserve"> </w:t>
      </w:r>
      <w:r w:rsidR="00ED44A3">
        <w:rPr>
          <w:rFonts w:ascii="Arial" w:hAnsi="Arial" w:cs="Arial"/>
        </w:rPr>
        <w:t>raggiunge le 81.2</w:t>
      </w:r>
      <w:r w:rsidR="005B644B">
        <w:rPr>
          <w:rFonts w:ascii="Arial" w:hAnsi="Arial" w:cs="Arial"/>
        </w:rPr>
        <w:t>61</w:t>
      </w:r>
      <w:r w:rsidR="00ED44A3">
        <w:rPr>
          <w:rFonts w:ascii="Arial" w:hAnsi="Arial" w:cs="Arial"/>
        </w:rPr>
        <w:t xml:space="preserve"> tonnellate</w:t>
      </w:r>
      <w:r w:rsidR="002A48CE">
        <w:rPr>
          <w:rFonts w:ascii="Arial" w:hAnsi="Arial" w:cs="Arial"/>
        </w:rPr>
        <w:t>, con un’incidenza de</w:t>
      </w:r>
      <w:r w:rsidR="009B7702">
        <w:rPr>
          <w:rFonts w:ascii="Arial" w:hAnsi="Arial" w:cs="Arial"/>
        </w:rPr>
        <w:t>l 22,</w:t>
      </w:r>
      <w:r w:rsidR="005041E3">
        <w:rPr>
          <w:rFonts w:ascii="Arial" w:hAnsi="Arial" w:cs="Arial"/>
        </w:rPr>
        <w:t>7</w:t>
      </w:r>
      <w:r w:rsidR="009B7702">
        <w:rPr>
          <w:rFonts w:ascii="Arial" w:hAnsi="Arial" w:cs="Arial"/>
        </w:rPr>
        <w:t>%</w:t>
      </w:r>
      <w:r w:rsidR="008A33B3">
        <w:rPr>
          <w:rFonts w:ascii="Arial" w:hAnsi="Arial" w:cs="Arial"/>
        </w:rPr>
        <w:t xml:space="preserve"> </w:t>
      </w:r>
      <w:r w:rsidR="002A48CE">
        <w:rPr>
          <w:rFonts w:ascii="Arial" w:hAnsi="Arial" w:cs="Arial"/>
        </w:rPr>
        <w:t>sulla</w:t>
      </w:r>
      <w:r w:rsidR="008A33B3">
        <w:rPr>
          <w:rFonts w:ascii="Arial" w:hAnsi="Arial" w:cs="Arial"/>
        </w:rPr>
        <w:t xml:space="preserve"> raccolta nazionale</w:t>
      </w:r>
      <w:r w:rsidR="00567025">
        <w:rPr>
          <w:rFonts w:ascii="Arial" w:hAnsi="Arial" w:cs="Arial"/>
        </w:rPr>
        <w:t>. L’incremento dell’1,8% registrato in termini di volumi complessivi è pressoché frutto delle performance di Toscana, che segna il +2,</w:t>
      </w:r>
      <w:r w:rsidR="006F33B5">
        <w:rPr>
          <w:rFonts w:ascii="Arial" w:hAnsi="Arial" w:cs="Arial"/>
        </w:rPr>
        <w:t>5</w:t>
      </w:r>
      <w:r w:rsidR="00567025">
        <w:rPr>
          <w:rFonts w:ascii="Arial" w:hAnsi="Arial" w:cs="Arial"/>
        </w:rPr>
        <w:t xml:space="preserve">% rispetto al 2023, </w:t>
      </w:r>
      <w:r w:rsidR="002A48CE">
        <w:rPr>
          <w:rFonts w:ascii="Arial" w:hAnsi="Arial" w:cs="Arial"/>
        </w:rPr>
        <w:t xml:space="preserve">delle </w:t>
      </w:r>
      <w:r w:rsidR="00567025">
        <w:rPr>
          <w:rFonts w:ascii="Arial" w:hAnsi="Arial" w:cs="Arial"/>
        </w:rPr>
        <w:t>Marche</w:t>
      </w:r>
      <w:r w:rsidR="002A48CE">
        <w:rPr>
          <w:rFonts w:ascii="Arial" w:hAnsi="Arial" w:cs="Arial"/>
        </w:rPr>
        <w:t>,</w:t>
      </w:r>
      <w:r w:rsidR="00567025">
        <w:rPr>
          <w:rFonts w:ascii="Arial" w:hAnsi="Arial" w:cs="Arial"/>
        </w:rPr>
        <w:t xml:space="preserve"> che cresce del 2%</w:t>
      </w:r>
      <w:r w:rsidR="002A48CE">
        <w:rPr>
          <w:rFonts w:ascii="Arial" w:hAnsi="Arial" w:cs="Arial"/>
        </w:rPr>
        <w:t>,</w:t>
      </w:r>
      <w:r w:rsidR="00567025">
        <w:rPr>
          <w:rFonts w:ascii="Arial" w:hAnsi="Arial" w:cs="Arial"/>
        </w:rPr>
        <w:t xml:space="preserve"> e</w:t>
      </w:r>
      <w:r w:rsidR="002A48CE">
        <w:rPr>
          <w:rFonts w:ascii="Arial" w:hAnsi="Arial" w:cs="Arial"/>
        </w:rPr>
        <w:t xml:space="preserve"> del</w:t>
      </w:r>
      <w:r w:rsidR="00567025">
        <w:rPr>
          <w:rFonts w:ascii="Arial" w:hAnsi="Arial" w:cs="Arial"/>
        </w:rPr>
        <w:t xml:space="preserve"> Lazio (+1,</w:t>
      </w:r>
      <w:r w:rsidR="006F33B5">
        <w:rPr>
          <w:rFonts w:ascii="Arial" w:hAnsi="Arial" w:cs="Arial"/>
        </w:rPr>
        <w:t>8</w:t>
      </w:r>
      <w:r w:rsidR="00567025">
        <w:rPr>
          <w:rFonts w:ascii="Arial" w:hAnsi="Arial" w:cs="Arial"/>
        </w:rPr>
        <w:t>%) che con 30.5</w:t>
      </w:r>
      <w:r w:rsidR="006F33B5">
        <w:rPr>
          <w:rFonts w:ascii="Arial" w:hAnsi="Arial" w:cs="Arial"/>
        </w:rPr>
        <w:t>83</w:t>
      </w:r>
      <w:r w:rsidR="00567025">
        <w:rPr>
          <w:rFonts w:ascii="Arial" w:hAnsi="Arial" w:cs="Arial"/>
        </w:rPr>
        <w:t xml:space="preserve"> tonnellate avviate a corretto riciclo si </w:t>
      </w:r>
      <w:r w:rsidR="00567025" w:rsidRPr="00B77929">
        <w:rPr>
          <w:rFonts w:ascii="Arial" w:hAnsi="Arial" w:cs="Arial"/>
          <w:b/>
          <w:bCs/>
        </w:rPr>
        <w:t>conferma leader per volumi di raccolta</w:t>
      </w:r>
      <w:r w:rsidR="00373000">
        <w:rPr>
          <w:rFonts w:ascii="Arial" w:hAnsi="Arial" w:cs="Arial"/>
          <w:b/>
          <w:bCs/>
        </w:rPr>
        <w:t xml:space="preserve"> nella macroarea</w:t>
      </w:r>
      <w:r w:rsidR="00567025">
        <w:rPr>
          <w:rFonts w:ascii="Arial" w:hAnsi="Arial" w:cs="Arial"/>
        </w:rPr>
        <w:t>. Pressoché o del tutto invariati invece i risultati di Abruzzo e Umbria che è fanalino di coda nella raccolta di area con 5.136 tonnellate.</w:t>
      </w:r>
    </w:p>
    <w:p w14:paraId="02AC2E9A" w14:textId="38A84B66" w:rsidR="00567025" w:rsidRDefault="00567025" w:rsidP="008929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jc w:val="both"/>
        <w:outlineLvl w:val="0"/>
        <w:rPr>
          <w:rFonts w:ascii="Arial" w:hAnsi="Arial" w:cs="Arial"/>
          <w:b/>
          <w:bCs/>
        </w:rPr>
      </w:pPr>
      <w:r w:rsidRPr="002A48CE">
        <w:rPr>
          <w:rFonts w:ascii="Arial" w:hAnsi="Arial" w:cs="Arial"/>
          <w:b/>
          <w:bCs/>
        </w:rPr>
        <w:t>La raccolta pro capite di area sale a 6,26 kg per abitante</w:t>
      </w:r>
      <w:r>
        <w:rPr>
          <w:rFonts w:ascii="Arial" w:hAnsi="Arial" w:cs="Arial"/>
        </w:rPr>
        <w:t>, anch’ess</w:t>
      </w:r>
      <w:r w:rsidR="002A48C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superiore alla media nazionale, ma dall’analisi dei risultati delle singole regioni emerge che</w:t>
      </w:r>
      <w:r w:rsidR="009B7702">
        <w:rPr>
          <w:rFonts w:ascii="Arial" w:hAnsi="Arial" w:cs="Arial"/>
        </w:rPr>
        <w:t xml:space="preserve"> nonostante tutte </w:t>
      </w:r>
      <w:r w:rsidR="002A48CE">
        <w:rPr>
          <w:rFonts w:ascii="Arial" w:hAnsi="Arial" w:cs="Arial"/>
        </w:rPr>
        <w:t xml:space="preserve">le regioni </w:t>
      </w:r>
      <w:r w:rsidR="009B7702">
        <w:rPr>
          <w:rFonts w:ascii="Arial" w:hAnsi="Arial" w:cs="Arial"/>
        </w:rPr>
        <w:t xml:space="preserve">risultino in crescita rispetto al 2023, solo le </w:t>
      </w:r>
      <w:r w:rsidR="009B7702" w:rsidRPr="00E4788D">
        <w:rPr>
          <w:rFonts w:ascii="Arial" w:hAnsi="Arial" w:cs="Arial"/>
        </w:rPr>
        <w:t>Marche</w:t>
      </w:r>
      <w:r w:rsidR="009B7702">
        <w:rPr>
          <w:rFonts w:ascii="Arial" w:hAnsi="Arial" w:cs="Arial"/>
        </w:rPr>
        <w:t xml:space="preserve"> (6,24 kg/ab) e la </w:t>
      </w:r>
      <w:r w:rsidR="009B7702" w:rsidRPr="002A48CE">
        <w:rPr>
          <w:rFonts w:ascii="Arial" w:hAnsi="Arial" w:cs="Arial"/>
          <w:b/>
          <w:bCs/>
        </w:rPr>
        <w:t>Toscana</w:t>
      </w:r>
      <w:r w:rsidR="009B7702">
        <w:rPr>
          <w:rFonts w:ascii="Arial" w:hAnsi="Arial" w:cs="Arial"/>
        </w:rPr>
        <w:t xml:space="preserve"> superano il dato medio nazionale. Quest’ultima con 8,30 kg/ab </w:t>
      </w:r>
      <w:r w:rsidR="009B7702">
        <w:rPr>
          <w:rFonts w:ascii="Arial" w:hAnsi="Arial" w:cs="Arial"/>
          <w:b/>
          <w:bCs/>
        </w:rPr>
        <w:t>si</w:t>
      </w:r>
      <w:r w:rsidR="009B7702" w:rsidRPr="00B77929">
        <w:rPr>
          <w:rFonts w:ascii="Arial" w:hAnsi="Arial" w:cs="Arial"/>
          <w:b/>
          <w:bCs/>
        </w:rPr>
        <w:t xml:space="preserve"> conferma </w:t>
      </w:r>
      <w:r w:rsidR="009B7702">
        <w:rPr>
          <w:rFonts w:ascii="Arial" w:hAnsi="Arial" w:cs="Arial"/>
          <w:b/>
          <w:bCs/>
        </w:rPr>
        <w:t>prima a livello</w:t>
      </w:r>
      <w:r w:rsidR="009B7702" w:rsidRPr="00B77929">
        <w:rPr>
          <w:rFonts w:ascii="Arial" w:hAnsi="Arial" w:cs="Arial"/>
          <w:b/>
          <w:bCs/>
        </w:rPr>
        <w:t xml:space="preserve"> di area</w:t>
      </w:r>
      <w:r w:rsidR="009B7702" w:rsidRPr="00064461">
        <w:rPr>
          <w:rFonts w:ascii="Arial" w:hAnsi="Arial" w:cs="Arial"/>
        </w:rPr>
        <w:t xml:space="preserve"> e </w:t>
      </w:r>
      <w:r w:rsidR="009B7702" w:rsidRPr="009B7702">
        <w:rPr>
          <w:rFonts w:ascii="Arial" w:hAnsi="Arial" w:cs="Arial"/>
          <w:b/>
          <w:bCs/>
        </w:rPr>
        <w:t>terza a livello nazionale</w:t>
      </w:r>
      <w:r w:rsidR="009B7702">
        <w:rPr>
          <w:rFonts w:ascii="Arial" w:hAnsi="Arial" w:cs="Arial"/>
          <w:b/>
          <w:bCs/>
        </w:rPr>
        <w:t xml:space="preserve">. </w:t>
      </w:r>
      <w:r w:rsidR="009B7702" w:rsidRPr="009B7702">
        <w:rPr>
          <w:rFonts w:ascii="Arial" w:hAnsi="Arial" w:cs="Arial"/>
        </w:rPr>
        <w:t xml:space="preserve">Al contrario, con 4,64 kg/ab l’Abruzzo </w:t>
      </w:r>
      <w:r w:rsidR="009B7702">
        <w:rPr>
          <w:rFonts w:ascii="Arial" w:hAnsi="Arial" w:cs="Arial"/>
        </w:rPr>
        <w:t xml:space="preserve">si conferma ultima tra le regioni del Centro e scende alla penultima posizione della classifica nazionale. </w:t>
      </w:r>
    </w:p>
    <w:p w14:paraId="4D57D109" w14:textId="77777777" w:rsidR="003A0CAA" w:rsidRDefault="003A0CAA" w:rsidP="008929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jc w:val="both"/>
        <w:outlineLvl w:val="0"/>
        <w:rPr>
          <w:rFonts w:ascii="Arial" w:hAnsi="Arial" w:cs="Arial"/>
          <w:b/>
          <w:bCs/>
        </w:rPr>
      </w:pPr>
    </w:p>
    <w:p w14:paraId="0AB7F094" w14:textId="77777777" w:rsidR="003A0CAA" w:rsidRDefault="003A0CAA" w:rsidP="008929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jc w:val="both"/>
        <w:outlineLvl w:val="0"/>
        <w:rPr>
          <w:rFonts w:ascii="Arial" w:hAnsi="Arial" w:cs="Arial"/>
          <w:b/>
          <w:bCs/>
        </w:rPr>
      </w:pPr>
    </w:p>
    <w:p w14:paraId="6AA96A5B" w14:textId="77777777" w:rsidR="003A0CAA" w:rsidRDefault="003A0CAA" w:rsidP="008929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jc w:val="both"/>
        <w:outlineLvl w:val="0"/>
        <w:rPr>
          <w:rFonts w:ascii="Arial" w:hAnsi="Arial" w:cs="Arial"/>
          <w:b/>
          <w:bCs/>
        </w:rPr>
      </w:pPr>
    </w:p>
    <w:p w14:paraId="139227A2" w14:textId="77777777" w:rsidR="003A0CAA" w:rsidRDefault="003A0CAA" w:rsidP="008929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jc w:val="both"/>
        <w:outlineLvl w:val="0"/>
        <w:rPr>
          <w:rFonts w:ascii="Arial" w:hAnsi="Arial" w:cs="Arial"/>
          <w:b/>
          <w:bCs/>
        </w:rPr>
      </w:pPr>
    </w:p>
    <w:p w14:paraId="1E984BC6" w14:textId="158A41F1" w:rsidR="009B7702" w:rsidRPr="009B7702" w:rsidRDefault="009B7702" w:rsidP="008A33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spacing w:line="276" w:lineRule="auto"/>
        <w:jc w:val="both"/>
        <w:outlineLvl w:val="0"/>
        <w:rPr>
          <w:rFonts w:ascii="Arial" w:hAnsi="Arial" w:cs="Arial"/>
          <w:u w:val="single"/>
        </w:rPr>
      </w:pPr>
      <w:r w:rsidRPr="009B7702">
        <w:rPr>
          <w:rFonts w:ascii="Arial" w:hAnsi="Arial" w:cs="Arial"/>
          <w:u w:val="single"/>
        </w:rPr>
        <w:lastRenderedPageBreak/>
        <w:t>Sud Italia</w:t>
      </w:r>
      <w:r w:rsidR="008A33B3">
        <w:rPr>
          <w:rFonts w:ascii="Arial" w:hAnsi="Arial" w:cs="Arial"/>
          <w:u w:val="single"/>
        </w:rPr>
        <w:t xml:space="preserve"> </w:t>
      </w:r>
    </w:p>
    <w:p w14:paraId="51F00145" w14:textId="56CB0388" w:rsidR="00567025" w:rsidRDefault="009B7702" w:rsidP="008929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I volumi di questa macroarea si consolidano a 88.01</w:t>
      </w:r>
      <w:r w:rsidR="0016508F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tonnellate</w:t>
      </w:r>
      <w:r w:rsidR="008A33B3">
        <w:rPr>
          <w:rFonts w:ascii="Arial" w:hAnsi="Arial" w:cs="Arial"/>
        </w:rPr>
        <w:t>, pari al 24,</w:t>
      </w:r>
      <w:r w:rsidR="0016508F">
        <w:rPr>
          <w:rFonts w:ascii="Arial" w:hAnsi="Arial" w:cs="Arial"/>
        </w:rPr>
        <w:t>6</w:t>
      </w:r>
      <w:r w:rsidR="008A33B3">
        <w:rPr>
          <w:rFonts w:ascii="Arial" w:hAnsi="Arial" w:cs="Arial"/>
        </w:rPr>
        <w:t>% dei quantitativi complessivi avviati a corretto riciclo. Impattano sulla performance del Sud Italia i risultati molto negativi del Molise</w:t>
      </w:r>
      <w:r w:rsidR="001068AA">
        <w:rPr>
          <w:rFonts w:ascii="Arial" w:hAnsi="Arial" w:cs="Arial"/>
        </w:rPr>
        <w:t xml:space="preserve"> </w:t>
      </w:r>
      <w:r w:rsidR="008A33B3">
        <w:rPr>
          <w:rFonts w:ascii="Arial" w:hAnsi="Arial" w:cs="Arial"/>
        </w:rPr>
        <w:t xml:space="preserve">e della Calabria </w:t>
      </w:r>
      <w:r w:rsidR="001068AA">
        <w:rPr>
          <w:rFonts w:ascii="Arial" w:hAnsi="Arial" w:cs="Arial"/>
        </w:rPr>
        <w:t xml:space="preserve">come già evidenziato in precedenza. </w:t>
      </w:r>
      <w:r w:rsidR="008A33B3">
        <w:rPr>
          <w:rFonts w:ascii="Arial" w:hAnsi="Arial" w:cs="Arial"/>
        </w:rPr>
        <w:t xml:space="preserve">Compensa al contrario solo la Basilicata (+5,9%) mentre le restanti regioni </w:t>
      </w:r>
      <w:r w:rsidR="0078419D">
        <w:rPr>
          <w:rFonts w:ascii="Arial" w:hAnsi="Arial" w:cs="Arial"/>
        </w:rPr>
        <w:t>registrano andamenti</w:t>
      </w:r>
      <w:r w:rsidR="008A33B3">
        <w:rPr>
          <w:rFonts w:ascii="Arial" w:hAnsi="Arial" w:cs="Arial"/>
        </w:rPr>
        <w:t xml:space="preserve"> pressoché invariati.</w:t>
      </w:r>
    </w:p>
    <w:p w14:paraId="742C09BB" w14:textId="1BD310DC" w:rsidR="0091174C" w:rsidRDefault="008A33B3" w:rsidP="00EE79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Nonostante il risultato poco brillante, con 23.546 tonnellate la </w:t>
      </w:r>
      <w:r w:rsidRPr="002A48CE">
        <w:rPr>
          <w:rFonts w:ascii="Arial" w:hAnsi="Arial" w:cs="Arial"/>
          <w:b/>
          <w:bCs/>
        </w:rPr>
        <w:t>Sicilia rimane al primo posto per volumi di raccolta complessiva</w:t>
      </w:r>
      <w:r w:rsidR="0078419D">
        <w:rPr>
          <w:rFonts w:ascii="Arial" w:hAnsi="Arial" w:cs="Arial"/>
        </w:rPr>
        <w:t>, seguito dalla Puglia con 18.10</w:t>
      </w:r>
      <w:r w:rsidR="007E3C75">
        <w:rPr>
          <w:rFonts w:ascii="Arial" w:hAnsi="Arial" w:cs="Arial"/>
        </w:rPr>
        <w:t>1</w:t>
      </w:r>
      <w:r w:rsidR="0078419D">
        <w:rPr>
          <w:rFonts w:ascii="Arial" w:hAnsi="Arial" w:cs="Arial"/>
        </w:rPr>
        <w:t xml:space="preserve"> tonnellate e dalla Campania con 16.89</w:t>
      </w:r>
      <w:r w:rsidR="00422AF4">
        <w:rPr>
          <w:rFonts w:ascii="Arial" w:hAnsi="Arial" w:cs="Arial"/>
        </w:rPr>
        <w:t>7</w:t>
      </w:r>
      <w:r w:rsidR="0078419D">
        <w:rPr>
          <w:rFonts w:ascii="Arial" w:hAnsi="Arial" w:cs="Arial"/>
        </w:rPr>
        <w:t xml:space="preserve"> tonnellate. Ultimo posto, sempre più distaccato dalle restanti regioni dell’area</w:t>
      </w:r>
      <w:r w:rsidR="002A48CE">
        <w:rPr>
          <w:rFonts w:ascii="Arial" w:hAnsi="Arial" w:cs="Arial"/>
        </w:rPr>
        <w:t xml:space="preserve"> per</w:t>
      </w:r>
      <w:r w:rsidR="0078419D">
        <w:rPr>
          <w:rFonts w:ascii="Arial" w:hAnsi="Arial" w:cs="Arial"/>
        </w:rPr>
        <w:t xml:space="preserve"> il Molise con solo 1.456 tonnellate.</w:t>
      </w:r>
    </w:p>
    <w:p w14:paraId="38BCCE2C" w14:textId="77777777" w:rsidR="0078419D" w:rsidRDefault="0078419D" w:rsidP="00EE79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jc w:val="both"/>
        <w:outlineLvl w:val="0"/>
        <w:rPr>
          <w:rFonts w:ascii="Arial" w:hAnsi="Arial" w:cs="Arial"/>
        </w:rPr>
      </w:pPr>
    </w:p>
    <w:p w14:paraId="4F54E6C9" w14:textId="546EA128" w:rsidR="0078419D" w:rsidRDefault="0078419D" w:rsidP="00EE79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Migliora</w:t>
      </w:r>
      <w:r w:rsidR="00E341BB">
        <w:rPr>
          <w:rFonts w:ascii="Arial" w:hAnsi="Arial" w:cs="Arial"/>
        </w:rPr>
        <w:t xml:space="preserve"> seppure in modo contenuto </w:t>
      </w:r>
      <w:r>
        <w:rPr>
          <w:rFonts w:ascii="Arial" w:hAnsi="Arial" w:cs="Arial"/>
        </w:rPr>
        <w:t xml:space="preserve">la </w:t>
      </w:r>
      <w:r w:rsidRPr="002A48CE">
        <w:rPr>
          <w:rFonts w:ascii="Arial" w:hAnsi="Arial" w:cs="Arial"/>
          <w:b/>
          <w:bCs/>
        </w:rPr>
        <w:t>raccolta pro capite dell’area</w:t>
      </w:r>
      <w:r w:rsidR="00E341BB" w:rsidRPr="002A48CE">
        <w:rPr>
          <w:rFonts w:ascii="Arial" w:hAnsi="Arial" w:cs="Arial"/>
          <w:b/>
          <w:bCs/>
        </w:rPr>
        <w:t>,</w:t>
      </w:r>
      <w:r w:rsidRPr="002A48CE">
        <w:rPr>
          <w:rFonts w:ascii="Arial" w:hAnsi="Arial" w:cs="Arial"/>
          <w:b/>
          <w:bCs/>
        </w:rPr>
        <w:t xml:space="preserve"> pari a 4,75 kg per abitante</w:t>
      </w:r>
      <w:r>
        <w:rPr>
          <w:rFonts w:ascii="Arial" w:hAnsi="Arial" w:cs="Arial"/>
        </w:rPr>
        <w:t>, ben al di sotto della media italiana.</w:t>
      </w:r>
      <w:r w:rsidR="00E341BB">
        <w:rPr>
          <w:rFonts w:ascii="Arial" w:hAnsi="Arial" w:cs="Arial"/>
        </w:rPr>
        <w:t xml:space="preserve"> Va però detto che a eccezione di Molise e Calabria, i singoli valori regionali migliorano tutti, con variazioni comprese tra il +0,7% della Campania e il +7,5% della Basilicata</w:t>
      </w:r>
      <w:r w:rsidR="009B1583">
        <w:rPr>
          <w:rFonts w:ascii="Arial" w:hAnsi="Arial" w:cs="Arial"/>
        </w:rPr>
        <w:t xml:space="preserve"> il cui dato pro capite sale così a 7,18 kg/ab </w:t>
      </w:r>
      <w:r w:rsidR="00560C0B">
        <w:rPr>
          <w:rFonts w:ascii="Arial" w:hAnsi="Arial" w:cs="Arial"/>
        </w:rPr>
        <w:t>che si traduce nel</w:t>
      </w:r>
      <w:r w:rsidR="009B1583">
        <w:rPr>
          <w:rFonts w:ascii="Arial" w:hAnsi="Arial" w:cs="Arial"/>
        </w:rPr>
        <w:t xml:space="preserve">l’ottava posizione a livello nazionale. </w:t>
      </w:r>
      <w:r w:rsidR="00560C0B">
        <w:rPr>
          <w:rFonts w:ascii="Arial" w:hAnsi="Arial" w:cs="Arial"/>
        </w:rPr>
        <w:t xml:space="preserve">Il </w:t>
      </w:r>
      <w:r w:rsidR="00560C0B" w:rsidRPr="002A48CE">
        <w:rPr>
          <w:rFonts w:ascii="Arial" w:hAnsi="Arial" w:cs="Arial"/>
          <w:b/>
          <w:bCs/>
        </w:rPr>
        <w:t>primato a livello di area spetta ancora una volta alla Sardegna</w:t>
      </w:r>
      <w:r w:rsidR="00560C0B">
        <w:rPr>
          <w:rFonts w:ascii="Arial" w:hAnsi="Arial" w:cs="Arial"/>
        </w:rPr>
        <w:t xml:space="preserve"> con 9,67 kg/ab, ma l’i</w:t>
      </w:r>
      <w:r w:rsidR="009B1583">
        <w:rPr>
          <w:rFonts w:ascii="Arial" w:hAnsi="Arial" w:cs="Arial"/>
        </w:rPr>
        <w:t xml:space="preserve">ncremento contenuto (+1,2%) </w:t>
      </w:r>
      <w:r w:rsidR="00560C0B">
        <w:rPr>
          <w:rFonts w:ascii="Arial" w:hAnsi="Arial" w:cs="Arial"/>
        </w:rPr>
        <w:t xml:space="preserve">la fa scendere al </w:t>
      </w:r>
      <w:r w:rsidR="00560C0B" w:rsidRPr="002A48CE">
        <w:rPr>
          <w:rFonts w:ascii="Arial" w:hAnsi="Arial" w:cs="Arial"/>
          <w:b/>
          <w:bCs/>
        </w:rPr>
        <w:t>secondo posto nella graduatoria complessiva</w:t>
      </w:r>
      <w:r w:rsidR="009B1583">
        <w:rPr>
          <w:rFonts w:ascii="Arial" w:hAnsi="Arial" w:cs="Arial"/>
        </w:rPr>
        <w:t>. Tutte nella parte finale della classifica</w:t>
      </w:r>
      <w:r w:rsidR="00560C0B">
        <w:rPr>
          <w:rFonts w:ascii="Arial" w:hAnsi="Arial" w:cs="Arial"/>
        </w:rPr>
        <w:t xml:space="preserve"> </w:t>
      </w:r>
      <w:r w:rsidR="002A48CE">
        <w:rPr>
          <w:rFonts w:ascii="Arial" w:hAnsi="Arial" w:cs="Arial"/>
        </w:rPr>
        <w:t>italiana</w:t>
      </w:r>
      <w:r w:rsidR="009B1583">
        <w:rPr>
          <w:rFonts w:ascii="Arial" w:hAnsi="Arial" w:cs="Arial"/>
        </w:rPr>
        <w:t xml:space="preserve"> invece le restati province con la Campania ancora una volta in ultima posizione con solo </w:t>
      </w:r>
      <w:r w:rsidR="00560C0B">
        <w:rPr>
          <w:rFonts w:ascii="Arial" w:hAnsi="Arial" w:cs="Arial"/>
        </w:rPr>
        <w:t>3,02 kg/ab, di fatto la metà della media nazionale.</w:t>
      </w:r>
    </w:p>
    <w:p w14:paraId="6B867DCD" w14:textId="77777777" w:rsidR="0078419D" w:rsidRPr="00064461" w:rsidRDefault="0078419D" w:rsidP="00EE79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jc w:val="both"/>
        <w:outlineLvl w:val="0"/>
        <w:rPr>
          <w:rFonts w:ascii="Arial" w:hAnsi="Arial" w:cs="Arial"/>
        </w:rPr>
      </w:pPr>
    </w:p>
    <w:p w14:paraId="021E2301" w14:textId="77777777" w:rsidR="0003365A" w:rsidRPr="00064461" w:rsidRDefault="0003365A" w:rsidP="00C055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jc w:val="both"/>
        <w:rPr>
          <w:rStyle w:val="NessunoA"/>
          <w:rFonts w:ascii="Arial" w:hAnsi="Arial" w:cs="Arial"/>
          <w:u w:color="3B3838"/>
        </w:rPr>
      </w:pPr>
    </w:p>
    <w:p w14:paraId="01F34C2E" w14:textId="77777777" w:rsidR="0044474C" w:rsidRPr="00064461" w:rsidRDefault="0044474C" w:rsidP="00C055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jc w:val="both"/>
        <w:rPr>
          <w:rStyle w:val="NessunoA"/>
          <w:rFonts w:ascii="Arial" w:hAnsi="Arial" w:cs="Arial"/>
          <w:b/>
          <w:bCs/>
          <w:u w:color="3B3838"/>
        </w:rPr>
      </w:pPr>
      <w:r w:rsidRPr="00064461">
        <w:rPr>
          <w:rStyle w:val="NessunoA"/>
          <w:rFonts w:ascii="Arial" w:hAnsi="Arial" w:cs="Arial"/>
          <w:b/>
          <w:bCs/>
          <w:u w:color="3B3838"/>
        </w:rPr>
        <w:t>RACCOLTA PRO CAPITE PER AREE</w:t>
      </w:r>
    </w:p>
    <w:tbl>
      <w:tblPr>
        <w:tblpPr w:leftFromText="141" w:rightFromText="141" w:vertAnchor="text" w:horzAnchor="margin" w:tblpY="22"/>
        <w:tblW w:w="59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2380"/>
        <w:gridCol w:w="2380"/>
      </w:tblGrid>
      <w:tr w:rsidR="0044474C" w:rsidRPr="00064461" w14:paraId="641F0A11" w14:textId="77777777" w:rsidTr="00962011">
        <w:trPr>
          <w:trHeight w:val="550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22F3" w14:textId="77777777" w:rsidR="0044474C" w:rsidRPr="00064461" w:rsidRDefault="0044474C" w:rsidP="00C055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FC4DC" w14:textId="77777777" w:rsidR="0044474C" w:rsidRPr="00064461" w:rsidRDefault="0044474C" w:rsidP="00B22BF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64461">
              <w:rPr>
                <w:rFonts w:ascii="Arial" w:hAnsi="Arial" w:cs="Arial"/>
                <w:b/>
                <w:bCs/>
                <w:color w:val="000000"/>
              </w:rPr>
              <w:t>kg/ab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FEACA" w14:textId="7736472E" w:rsidR="0044474C" w:rsidRPr="00064461" w:rsidRDefault="0044474C" w:rsidP="00B22BF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64461">
              <w:rPr>
                <w:rFonts w:ascii="Arial" w:hAnsi="Arial" w:cs="Arial"/>
                <w:b/>
                <w:bCs/>
                <w:color w:val="000000"/>
              </w:rPr>
              <w:t>Variazione 202</w:t>
            </w:r>
            <w:r w:rsidR="00560C0B"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064461">
              <w:rPr>
                <w:rFonts w:ascii="Arial" w:hAnsi="Arial" w:cs="Arial"/>
                <w:b/>
                <w:bCs/>
                <w:color w:val="000000"/>
              </w:rPr>
              <w:t>/20</w:t>
            </w:r>
            <w:r w:rsidR="00B22BF0" w:rsidRPr="00064461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560C0B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</w:tr>
      <w:tr w:rsidR="0044474C" w:rsidRPr="00064461" w14:paraId="7F986836" w14:textId="77777777" w:rsidTr="00962011">
        <w:trPr>
          <w:trHeight w:val="421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5D22158" w14:textId="77777777" w:rsidR="0044474C" w:rsidRPr="00064461" w:rsidRDefault="0044474C" w:rsidP="00C05554">
            <w:pPr>
              <w:jc w:val="both"/>
              <w:rPr>
                <w:rFonts w:ascii="Arial" w:hAnsi="Arial" w:cs="Arial"/>
                <w:color w:val="000000"/>
              </w:rPr>
            </w:pPr>
            <w:r w:rsidRPr="00064461">
              <w:rPr>
                <w:rFonts w:ascii="Arial" w:hAnsi="Arial" w:cs="Arial"/>
                <w:color w:val="000000"/>
              </w:rPr>
              <w:t>Nord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</w:tcPr>
          <w:p w14:paraId="3955E76A" w14:textId="5E36F781" w:rsidR="0044474C" w:rsidRPr="00064461" w:rsidRDefault="00B47467" w:rsidP="00B22BF0">
            <w:pPr>
              <w:jc w:val="center"/>
              <w:rPr>
                <w:rFonts w:ascii="Arial" w:hAnsi="Arial" w:cs="Arial"/>
                <w:color w:val="000000"/>
              </w:rPr>
            </w:pPr>
            <w:r w:rsidRPr="00064461">
              <w:rPr>
                <w:rFonts w:ascii="Arial" w:hAnsi="Arial" w:cs="Arial"/>
                <w:color w:val="000000"/>
              </w:rPr>
              <w:t>6,</w:t>
            </w:r>
            <w:r w:rsidR="00560C0B"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F9B9B0F" w14:textId="44A68B12" w:rsidR="0044474C" w:rsidRPr="00064461" w:rsidRDefault="00560C0B" w:rsidP="00B22B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+3,7</w:t>
            </w:r>
            <w:r w:rsidR="00B47467" w:rsidRPr="00064461">
              <w:rPr>
                <w:rFonts w:ascii="Arial" w:hAnsi="Arial" w:cs="Arial"/>
                <w:color w:val="000000"/>
              </w:rPr>
              <w:t>%</w:t>
            </w:r>
          </w:p>
        </w:tc>
      </w:tr>
      <w:tr w:rsidR="0044474C" w:rsidRPr="00064461" w14:paraId="239CCBA3" w14:textId="77777777" w:rsidTr="00962011">
        <w:trPr>
          <w:trHeight w:val="533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4E2D0B0" w14:textId="77777777" w:rsidR="0044474C" w:rsidRPr="00064461" w:rsidRDefault="0044474C" w:rsidP="00C05554">
            <w:pPr>
              <w:jc w:val="both"/>
              <w:rPr>
                <w:rFonts w:ascii="Arial" w:hAnsi="Arial" w:cs="Arial"/>
                <w:color w:val="000000"/>
              </w:rPr>
            </w:pPr>
            <w:r w:rsidRPr="00064461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5C6CA729" w14:textId="57265673" w:rsidR="0044474C" w:rsidRPr="00064461" w:rsidRDefault="00B47467" w:rsidP="00B22BF0">
            <w:pPr>
              <w:jc w:val="center"/>
              <w:rPr>
                <w:rFonts w:ascii="Arial" w:hAnsi="Arial" w:cs="Arial"/>
                <w:color w:val="000000"/>
              </w:rPr>
            </w:pPr>
            <w:r w:rsidRPr="00064461">
              <w:rPr>
                <w:rFonts w:ascii="Arial" w:hAnsi="Arial" w:cs="Arial"/>
                <w:color w:val="000000"/>
              </w:rPr>
              <w:t>6,</w:t>
            </w:r>
            <w:r w:rsidR="00560C0B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F55A4B6" w14:textId="3E20B7E4" w:rsidR="0044474C" w:rsidRPr="00064461" w:rsidRDefault="00560C0B" w:rsidP="00B22B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+2</w:t>
            </w:r>
            <w:r w:rsidR="00B47467" w:rsidRPr="00064461">
              <w:rPr>
                <w:rFonts w:ascii="Arial" w:hAnsi="Arial" w:cs="Arial"/>
                <w:color w:val="000000"/>
              </w:rPr>
              <w:t>%</w:t>
            </w:r>
          </w:p>
        </w:tc>
      </w:tr>
      <w:tr w:rsidR="0044474C" w:rsidRPr="00064461" w14:paraId="5F54A552" w14:textId="77777777" w:rsidTr="00962011">
        <w:trPr>
          <w:trHeight w:val="451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13CE6CF" w14:textId="77777777" w:rsidR="0044474C" w:rsidRPr="00064461" w:rsidRDefault="0044474C" w:rsidP="00C05554">
            <w:pPr>
              <w:jc w:val="both"/>
              <w:rPr>
                <w:rFonts w:ascii="Arial" w:hAnsi="Arial" w:cs="Arial"/>
                <w:color w:val="000000"/>
              </w:rPr>
            </w:pPr>
            <w:r w:rsidRPr="00064461">
              <w:rPr>
                <w:rFonts w:ascii="Arial" w:hAnsi="Arial" w:cs="Arial"/>
                <w:color w:val="000000"/>
              </w:rPr>
              <w:t>Sud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14:paraId="286F6EB0" w14:textId="6F1343FA" w:rsidR="0044474C" w:rsidRPr="00064461" w:rsidRDefault="00033847" w:rsidP="00B22BF0">
            <w:pPr>
              <w:jc w:val="center"/>
              <w:rPr>
                <w:rFonts w:ascii="Arial" w:hAnsi="Arial" w:cs="Arial"/>
                <w:color w:val="000000"/>
              </w:rPr>
            </w:pPr>
            <w:r w:rsidRPr="00064461">
              <w:rPr>
                <w:rFonts w:ascii="Arial" w:hAnsi="Arial" w:cs="Arial"/>
                <w:color w:val="000000"/>
              </w:rPr>
              <w:t>4,7</w:t>
            </w:r>
            <w:r w:rsidR="00560C0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5F62775" w14:textId="644E4AED" w:rsidR="0044474C" w:rsidRPr="00064461" w:rsidRDefault="00560C0B" w:rsidP="00B22B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+0,</w:t>
            </w:r>
            <w:r w:rsidR="00FC64D6">
              <w:rPr>
                <w:rFonts w:ascii="Arial" w:hAnsi="Arial" w:cs="Arial"/>
                <w:color w:val="000000"/>
              </w:rPr>
              <w:t>7</w:t>
            </w:r>
            <w:r w:rsidR="00B47467" w:rsidRPr="00064461">
              <w:rPr>
                <w:rFonts w:ascii="Arial" w:hAnsi="Arial" w:cs="Arial"/>
                <w:color w:val="000000"/>
              </w:rPr>
              <w:t>%</w:t>
            </w:r>
          </w:p>
        </w:tc>
      </w:tr>
    </w:tbl>
    <w:p w14:paraId="4D571141" w14:textId="77777777" w:rsidR="0044474C" w:rsidRPr="00064461" w:rsidRDefault="0044474C" w:rsidP="00C055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jc w:val="both"/>
        <w:rPr>
          <w:rStyle w:val="NessunoA"/>
          <w:rFonts w:ascii="Arial" w:hAnsi="Arial" w:cs="Arial"/>
          <w:u w:color="3B3838"/>
        </w:rPr>
      </w:pPr>
    </w:p>
    <w:p w14:paraId="203DDBFB" w14:textId="77777777" w:rsidR="0044474C" w:rsidRPr="00064461" w:rsidRDefault="0044474C" w:rsidP="00C055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jc w:val="both"/>
        <w:rPr>
          <w:rStyle w:val="NessunoA"/>
          <w:rFonts w:ascii="Arial" w:hAnsi="Arial" w:cs="Arial"/>
          <w:u w:color="3B3838"/>
        </w:rPr>
      </w:pPr>
    </w:p>
    <w:p w14:paraId="002CFF35" w14:textId="77777777" w:rsidR="0044474C" w:rsidRPr="00064461" w:rsidRDefault="0044474C" w:rsidP="00C055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jc w:val="both"/>
        <w:rPr>
          <w:rStyle w:val="NessunoA"/>
          <w:rFonts w:ascii="Arial" w:hAnsi="Arial" w:cs="Arial"/>
          <w:u w:color="3B3838"/>
        </w:rPr>
      </w:pPr>
    </w:p>
    <w:p w14:paraId="5947519E" w14:textId="77777777" w:rsidR="0044474C" w:rsidRPr="00064461" w:rsidRDefault="0044474C" w:rsidP="00C055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jc w:val="both"/>
        <w:rPr>
          <w:rStyle w:val="NessunoA"/>
          <w:rFonts w:ascii="Arial" w:hAnsi="Arial" w:cs="Arial"/>
          <w:u w:color="3B3838"/>
        </w:rPr>
      </w:pPr>
    </w:p>
    <w:p w14:paraId="2013118A" w14:textId="77777777" w:rsidR="0044474C" w:rsidRPr="00064461" w:rsidRDefault="0044474C" w:rsidP="00C055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jc w:val="both"/>
        <w:rPr>
          <w:rStyle w:val="NessunoA"/>
          <w:rFonts w:ascii="Arial" w:hAnsi="Arial" w:cs="Arial"/>
          <w:u w:color="3B3838"/>
        </w:rPr>
      </w:pPr>
    </w:p>
    <w:p w14:paraId="169495A8" w14:textId="77777777" w:rsidR="0044474C" w:rsidRPr="00064461" w:rsidRDefault="0044474C" w:rsidP="00C055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jc w:val="both"/>
        <w:rPr>
          <w:rStyle w:val="NessunoA"/>
          <w:rFonts w:ascii="Arial" w:hAnsi="Arial" w:cs="Arial"/>
          <w:u w:color="3B3838"/>
        </w:rPr>
      </w:pPr>
    </w:p>
    <w:p w14:paraId="546AF5EC" w14:textId="42EB3589" w:rsidR="00327FE4" w:rsidRPr="00064461" w:rsidRDefault="00327FE4" w:rsidP="00C055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jc w:val="both"/>
        <w:rPr>
          <w:rFonts w:ascii="Arial" w:hAnsi="Arial" w:cs="Arial"/>
          <w:color w:val="000000" w:themeColor="text1"/>
        </w:rPr>
      </w:pPr>
    </w:p>
    <w:p w14:paraId="54719F76" w14:textId="25FF51C7" w:rsidR="00CE49FF" w:rsidRPr="00064461" w:rsidRDefault="00CE49FF" w:rsidP="00C055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jc w:val="both"/>
        <w:rPr>
          <w:rFonts w:ascii="Arial" w:hAnsi="Arial" w:cs="Arial"/>
          <w:color w:val="000000" w:themeColor="text1"/>
        </w:rPr>
      </w:pPr>
    </w:p>
    <w:p w14:paraId="3A786773" w14:textId="3278C344" w:rsidR="00CE49FF" w:rsidRPr="00064461" w:rsidRDefault="00CE49FF" w:rsidP="00C055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jc w:val="both"/>
        <w:rPr>
          <w:rFonts w:ascii="Arial" w:hAnsi="Arial" w:cs="Arial"/>
          <w:color w:val="000000" w:themeColor="text1"/>
        </w:rPr>
      </w:pPr>
    </w:p>
    <w:p w14:paraId="1CBEB1E3" w14:textId="60A6DB40" w:rsidR="00033847" w:rsidRDefault="007E61CE" w:rsidP="00D14D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jc w:val="both"/>
        <w:rPr>
          <w:rStyle w:val="NessunoA"/>
          <w:rFonts w:ascii="Arial" w:hAnsi="Arial" w:cs="Arial"/>
          <w:u w:color="3B3838"/>
        </w:rPr>
      </w:pPr>
      <w:r>
        <w:rPr>
          <w:rStyle w:val="NessunoA"/>
          <w:rFonts w:ascii="Arial" w:hAnsi="Arial" w:cs="Arial"/>
          <w:u w:color="3B3838"/>
        </w:rPr>
        <w:t>Anche quest’anno, il</w:t>
      </w:r>
      <w:r w:rsidR="00D14D4A" w:rsidRPr="00064461">
        <w:rPr>
          <w:rStyle w:val="NessunoA"/>
          <w:rFonts w:ascii="Arial" w:hAnsi="Arial" w:cs="Arial"/>
          <w:u w:color="3B3838"/>
        </w:rPr>
        <w:t xml:space="preserve"> </w:t>
      </w:r>
      <w:r w:rsidR="00D14D4A" w:rsidRPr="00064461">
        <w:rPr>
          <w:rStyle w:val="NessunoA"/>
          <w:rFonts w:ascii="Arial" w:hAnsi="Arial" w:cs="Arial"/>
          <w:b/>
          <w:bCs/>
          <w:u w:color="3B3838"/>
        </w:rPr>
        <w:t>Rapporto Annuale</w:t>
      </w:r>
      <w:r w:rsidR="00D14D4A" w:rsidRPr="00064461">
        <w:rPr>
          <w:rStyle w:val="NessunoA"/>
          <w:rFonts w:ascii="Arial" w:hAnsi="Arial" w:cs="Arial"/>
          <w:u w:color="3B3838"/>
        </w:rPr>
        <w:t xml:space="preserve"> </w:t>
      </w:r>
      <w:r>
        <w:rPr>
          <w:rStyle w:val="NessunoA"/>
          <w:rFonts w:ascii="Arial" w:hAnsi="Arial" w:cs="Arial"/>
          <w:u w:color="3B3838"/>
        </w:rPr>
        <w:t>è scaricabile in</w:t>
      </w:r>
      <w:r w:rsidR="00D14D4A" w:rsidRPr="00064461">
        <w:rPr>
          <w:rStyle w:val="NessunoA"/>
          <w:rFonts w:ascii="Arial" w:hAnsi="Arial" w:cs="Arial"/>
          <w:u w:color="3B3838"/>
        </w:rPr>
        <w:t xml:space="preserve"> </w:t>
      </w:r>
      <w:r w:rsidR="00D14D4A" w:rsidRPr="00064461">
        <w:rPr>
          <w:rStyle w:val="NessunoA"/>
          <w:rFonts w:ascii="Arial" w:hAnsi="Arial" w:cs="Arial"/>
          <w:b/>
          <w:bCs/>
          <w:u w:color="3B3838"/>
        </w:rPr>
        <w:t>versione digitale</w:t>
      </w:r>
      <w:r w:rsidR="00DF37B9" w:rsidRPr="00064461">
        <w:rPr>
          <w:rStyle w:val="NessunoA"/>
          <w:rFonts w:ascii="Arial" w:hAnsi="Arial" w:cs="Arial"/>
          <w:b/>
          <w:bCs/>
          <w:u w:color="3B3838"/>
        </w:rPr>
        <w:t xml:space="preserve"> sul </w:t>
      </w:r>
      <w:r w:rsidR="00D14D4A" w:rsidRPr="00064461">
        <w:rPr>
          <w:rStyle w:val="NessunoA"/>
          <w:rFonts w:ascii="Arial" w:hAnsi="Arial" w:cs="Arial"/>
          <w:b/>
          <w:bCs/>
          <w:u w:color="3B3838"/>
        </w:rPr>
        <w:t xml:space="preserve">sito </w:t>
      </w:r>
      <w:r w:rsidR="00DF37B9" w:rsidRPr="00064461">
        <w:rPr>
          <w:rStyle w:val="NessunoA"/>
          <w:rFonts w:ascii="Arial" w:hAnsi="Arial" w:cs="Arial"/>
          <w:b/>
          <w:bCs/>
          <w:u w:color="3B3838"/>
        </w:rPr>
        <w:t xml:space="preserve">del Centro di Coordinamento RAEE </w:t>
      </w:r>
      <w:r w:rsidR="00DF37B9" w:rsidRPr="00B77929">
        <w:rPr>
          <w:rStyle w:val="NessunoA"/>
          <w:rFonts w:ascii="Arial" w:hAnsi="Arial" w:cs="Arial"/>
          <w:u w:color="3B3838"/>
        </w:rPr>
        <w:t>(</w:t>
      </w:r>
      <w:hyperlink r:id="rId10" w:history="1">
        <w:r w:rsidR="00D14D4A" w:rsidRPr="002A48CE">
          <w:rPr>
            <w:rStyle w:val="Collegamentoipertestuale"/>
            <w:rFonts w:ascii="Arial" w:hAnsi="Arial" w:cs="Arial"/>
          </w:rPr>
          <w:t>cdcraee.it</w:t>
        </w:r>
      </w:hyperlink>
      <w:r w:rsidR="00DF37B9" w:rsidRPr="00064461">
        <w:rPr>
          <w:rStyle w:val="NessunoA"/>
          <w:rFonts w:ascii="Arial" w:hAnsi="Arial" w:cs="Arial"/>
          <w:u w:color="3B3838"/>
        </w:rPr>
        <w:t>)</w:t>
      </w:r>
      <w:r w:rsidR="00D14D4A" w:rsidRPr="00064461">
        <w:rPr>
          <w:rStyle w:val="NessunoA"/>
          <w:rFonts w:ascii="Arial" w:hAnsi="Arial" w:cs="Arial"/>
          <w:u w:color="3B3838"/>
        </w:rPr>
        <w:t xml:space="preserve">. </w:t>
      </w:r>
    </w:p>
    <w:p w14:paraId="55BF1031" w14:textId="77777777" w:rsidR="003A0CAA" w:rsidRPr="00064461" w:rsidRDefault="003A0CAA" w:rsidP="00D14D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jc w:val="both"/>
        <w:rPr>
          <w:rStyle w:val="NessunoA"/>
          <w:rFonts w:ascii="Arial" w:hAnsi="Arial" w:cs="Arial"/>
          <w:u w:color="3B3838"/>
        </w:rPr>
      </w:pPr>
    </w:p>
    <w:p w14:paraId="02620F8C" w14:textId="0A6E5259" w:rsidR="001B2209" w:rsidRDefault="00033847" w:rsidP="001B22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jc w:val="both"/>
        <w:rPr>
          <w:rStyle w:val="NessunoA"/>
          <w:rFonts w:ascii="Arial" w:hAnsi="Arial" w:cs="Arial"/>
          <w:color w:val="000000" w:themeColor="text1"/>
          <w:u w:color="3B3838"/>
        </w:rPr>
      </w:pPr>
      <w:r w:rsidRPr="00064461">
        <w:rPr>
          <w:rStyle w:val="NessunoA"/>
          <w:rFonts w:ascii="Arial" w:hAnsi="Arial" w:cs="Arial"/>
          <w:u w:color="3B3838"/>
        </w:rPr>
        <w:t xml:space="preserve">Per approfondire ulteriormente i dati di raccolta, è possibile consultare </w:t>
      </w:r>
      <w:r w:rsidR="00D14D4A" w:rsidRPr="00064461">
        <w:rPr>
          <w:rStyle w:val="NessunoA"/>
          <w:rFonts w:ascii="Arial" w:hAnsi="Arial" w:cs="Arial"/>
          <w:b/>
          <w:bCs/>
          <w:u w:color="3B3838"/>
        </w:rPr>
        <w:t>raeeitalia.it</w:t>
      </w:r>
      <w:r w:rsidR="00D14D4A" w:rsidRPr="00064461">
        <w:rPr>
          <w:rStyle w:val="NessunoA"/>
          <w:rFonts w:ascii="Arial" w:hAnsi="Arial" w:cs="Arial"/>
          <w:u w:color="3B3838"/>
        </w:rPr>
        <w:t xml:space="preserve">, il servizio online creato dal Centro di Coordinamento RAEE </w:t>
      </w:r>
      <w:r w:rsidR="00D14D4A" w:rsidRPr="00064461">
        <w:rPr>
          <w:rStyle w:val="NessunoA"/>
          <w:rFonts w:ascii="Arial" w:hAnsi="Arial" w:cs="Arial"/>
          <w:color w:val="000000" w:themeColor="text1"/>
          <w:u w:color="3B3838"/>
        </w:rPr>
        <w:t>che raccoglie i dati sui rifiuti elettronici gestiti in Italia dal 20</w:t>
      </w:r>
      <w:r w:rsidR="00A027EA">
        <w:rPr>
          <w:rStyle w:val="NessunoA"/>
          <w:rFonts w:ascii="Arial" w:hAnsi="Arial" w:cs="Arial"/>
          <w:color w:val="000000" w:themeColor="text1"/>
          <w:u w:color="3B3838"/>
        </w:rPr>
        <w:t>2</w:t>
      </w:r>
      <w:r w:rsidR="00D14D4A" w:rsidRPr="00064461">
        <w:rPr>
          <w:rStyle w:val="NessunoA"/>
          <w:rFonts w:ascii="Arial" w:hAnsi="Arial" w:cs="Arial"/>
          <w:color w:val="000000" w:themeColor="text1"/>
          <w:u w:color="3B3838"/>
        </w:rPr>
        <w:t>1 ad oggi</w:t>
      </w:r>
      <w:r w:rsidR="00E81300">
        <w:rPr>
          <w:rStyle w:val="NessunoA"/>
          <w:rFonts w:ascii="Arial" w:hAnsi="Arial" w:cs="Arial"/>
          <w:color w:val="000000" w:themeColor="text1"/>
          <w:u w:color="3B3838"/>
        </w:rPr>
        <w:t>,</w:t>
      </w:r>
      <w:r w:rsidR="00D14D4A" w:rsidRPr="00064461">
        <w:rPr>
          <w:rStyle w:val="NessunoA"/>
          <w:rFonts w:ascii="Arial" w:hAnsi="Arial" w:cs="Arial"/>
          <w:color w:val="000000" w:themeColor="text1"/>
          <w:u w:color="3B3838"/>
        </w:rPr>
        <w:t xml:space="preserve"> con un livello di dettaglio fino ai singoli Comuni</w:t>
      </w:r>
      <w:r w:rsidR="00A027EA">
        <w:rPr>
          <w:rStyle w:val="NessunoA"/>
          <w:rFonts w:ascii="Arial" w:hAnsi="Arial" w:cs="Arial"/>
          <w:color w:val="000000" w:themeColor="text1"/>
          <w:u w:color="3B3838"/>
        </w:rPr>
        <w:t>.</w:t>
      </w:r>
      <w:r w:rsidR="00D14D4A" w:rsidRPr="00064461">
        <w:rPr>
          <w:rStyle w:val="NessunoA"/>
          <w:rFonts w:ascii="Arial" w:hAnsi="Arial" w:cs="Arial"/>
          <w:color w:val="000000" w:themeColor="text1"/>
          <w:u w:color="3B3838"/>
        </w:rPr>
        <w:t xml:space="preserve"> </w:t>
      </w:r>
    </w:p>
    <w:p w14:paraId="0D9872D3" w14:textId="77777777" w:rsidR="007E61CE" w:rsidRDefault="007E61CE" w:rsidP="001B22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jc w:val="both"/>
        <w:rPr>
          <w:rStyle w:val="NessunoA"/>
          <w:rFonts w:ascii="Arial" w:hAnsi="Arial" w:cs="Arial"/>
          <w:color w:val="000000" w:themeColor="text1"/>
          <w:u w:color="3B3838"/>
        </w:rPr>
      </w:pPr>
    </w:p>
    <w:p w14:paraId="5DE7D6FA" w14:textId="54EFB916" w:rsidR="00CE49FF" w:rsidRPr="007E61CE" w:rsidRDefault="00C50967" w:rsidP="00C055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jc w:val="both"/>
        <w:rPr>
          <w:rFonts w:ascii="Arial" w:hAnsi="Arial" w:cs="Arial"/>
          <w:color w:val="000000" w:themeColor="text1"/>
          <w:u w:color="3B3838"/>
        </w:rPr>
      </w:pPr>
      <w:r>
        <w:rPr>
          <w:rStyle w:val="NessunoA"/>
          <w:rFonts w:ascii="Arial" w:hAnsi="Arial" w:cs="Arial"/>
          <w:color w:val="000000" w:themeColor="text1"/>
          <w:u w:color="3B3838"/>
        </w:rPr>
        <w:t xml:space="preserve">A </w:t>
      </w:r>
      <w:r w:rsidR="004C13A0">
        <w:rPr>
          <w:rStyle w:val="NessunoA"/>
          <w:rFonts w:ascii="Arial" w:hAnsi="Arial" w:cs="Arial"/>
          <w:color w:val="000000" w:themeColor="text1"/>
          <w:u w:color="3B3838"/>
        </w:rPr>
        <w:t>partire dal 2 aprile saranno</w:t>
      </w:r>
      <w:r w:rsidR="007E61CE">
        <w:rPr>
          <w:rStyle w:val="NessunoA"/>
          <w:rFonts w:ascii="Arial" w:hAnsi="Arial" w:cs="Arial"/>
          <w:color w:val="000000" w:themeColor="text1"/>
          <w:u w:color="3B3838"/>
        </w:rPr>
        <w:t xml:space="preserve"> disponibil</w:t>
      </w:r>
      <w:r w:rsidR="00A849CA">
        <w:rPr>
          <w:rStyle w:val="NessunoA"/>
          <w:rFonts w:ascii="Arial" w:hAnsi="Arial" w:cs="Arial"/>
          <w:color w:val="000000" w:themeColor="text1"/>
          <w:u w:color="3B3838"/>
        </w:rPr>
        <w:t>i</w:t>
      </w:r>
      <w:r w:rsidR="007E61CE">
        <w:rPr>
          <w:rStyle w:val="NessunoA"/>
          <w:rFonts w:ascii="Arial" w:hAnsi="Arial" w:cs="Arial"/>
          <w:color w:val="000000" w:themeColor="text1"/>
          <w:u w:color="3B3838"/>
        </w:rPr>
        <w:t xml:space="preserve"> anche i </w:t>
      </w:r>
      <w:r w:rsidR="00D14D4A" w:rsidRPr="00064461">
        <w:rPr>
          <w:rFonts w:ascii="Arial" w:hAnsi="Arial" w:cs="Arial"/>
          <w:b/>
          <w:bCs/>
          <w:u w:color="3B3838"/>
        </w:rPr>
        <w:t>Rapporti regionali</w:t>
      </w:r>
      <w:r w:rsidR="00D14D4A" w:rsidRPr="00064461">
        <w:rPr>
          <w:rFonts w:ascii="Arial" w:hAnsi="Arial" w:cs="Arial"/>
          <w:u w:color="3B3838"/>
        </w:rPr>
        <w:t xml:space="preserve"> che presentano in maniera </w:t>
      </w:r>
      <w:r w:rsidR="007E61CE">
        <w:rPr>
          <w:rFonts w:ascii="Arial" w:hAnsi="Arial" w:cs="Arial"/>
          <w:u w:color="3B3838"/>
        </w:rPr>
        <w:t>dedicata</w:t>
      </w:r>
      <w:r w:rsidR="00DF37B9" w:rsidRPr="00064461">
        <w:rPr>
          <w:rFonts w:ascii="Arial" w:hAnsi="Arial" w:cs="Arial"/>
          <w:u w:color="3B3838"/>
        </w:rPr>
        <w:t xml:space="preserve"> e approfondita</w:t>
      </w:r>
      <w:r w:rsidR="00D14D4A" w:rsidRPr="00064461">
        <w:rPr>
          <w:rFonts w:ascii="Arial" w:hAnsi="Arial" w:cs="Arial"/>
          <w:u w:color="3B3838"/>
        </w:rPr>
        <w:t xml:space="preserve"> i risultati della raccolta </w:t>
      </w:r>
      <w:r w:rsidR="00DF37B9" w:rsidRPr="00064461">
        <w:rPr>
          <w:rFonts w:ascii="Arial" w:hAnsi="Arial" w:cs="Arial"/>
          <w:u w:color="3B3838"/>
        </w:rPr>
        <w:t>ottenuti</w:t>
      </w:r>
      <w:r w:rsidR="00D14D4A" w:rsidRPr="00064461">
        <w:rPr>
          <w:rFonts w:ascii="Arial" w:hAnsi="Arial" w:cs="Arial"/>
          <w:u w:color="3B3838"/>
        </w:rPr>
        <w:t xml:space="preserve"> dalle singole regioni italiane ripartiti per singola provincia, illustrano valori complessivi, quantitativi pro capite oltre che volumi per singoli raggruppamenti. Così come il report nazionale, anche questi testi </w:t>
      </w:r>
      <w:r w:rsidR="00941646">
        <w:rPr>
          <w:rFonts w:ascii="Arial" w:hAnsi="Arial" w:cs="Arial"/>
          <w:u w:color="3B3838"/>
        </w:rPr>
        <w:t>saranno</w:t>
      </w:r>
      <w:r w:rsidR="00941646" w:rsidRPr="00064461">
        <w:rPr>
          <w:rFonts w:ascii="Arial" w:hAnsi="Arial" w:cs="Arial"/>
          <w:u w:color="3B3838"/>
        </w:rPr>
        <w:t xml:space="preserve"> </w:t>
      </w:r>
      <w:r w:rsidR="00D14D4A" w:rsidRPr="00064461">
        <w:rPr>
          <w:rFonts w:ascii="Arial" w:hAnsi="Arial" w:cs="Arial"/>
          <w:u w:color="3B3838"/>
        </w:rPr>
        <w:t>disponibili nella versione digitale e scaricabili dal portale del CdC RAEE.</w:t>
      </w:r>
    </w:p>
    <w:p w14:paraId="0A23D16F" w14:textId="77777777" w:rsidR="000F1D88" w:rsidRPr="00064461" w:rsidRDefault="000F1D88" w:rsidP="00C05554">
      <w:pPr>
        <w:pStyle w:val="Titolo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spacing w:before="0" w:after="0"/>
        <w:jc w:val="both"/>
        <w:rPr>
          <w:rStyle w:val="NessunoA"/>
          <w:rFonts w:ascii="Arial" w:eastAsia="Arial" w:hAnsi="Arial" w:cs="Arial"/>
          <w:b w:val="0"/>
          <w:bCs w:val="0"/>
          <w:sz w:val="24"/>
          <w:szCs w:val="24"/>
        </w:rPr>
      </w:pPr>
    </w:p>
    <w:p w14:paraId="53F67506" w14:textId="22A65A89" w:rsidR="003A0CAA" w:rsidRDefault="0044474C" w:rsidP="00C3353B">
      <w:pPr>
        <w:rPr>
          <w:rFonts w:ascii="Arial" w:hAnsi="Arial" w:cs="Arial"/>
          <w:color w:val="000000" w:themeColor="text1"/>
        </w:rPr>
      </w:pPr>
      <w:r w:rsidRPr="00145972">
        <w:rPr>
          <w:rStyle w:val="NessunoA"/>
          <w:rFonts w:ascii="Arial" w:eastAsia="Arial" w:hAnsi="Arial" w:cs="Arial"/>
        </w:rPr>
        <w:lastRenderedPageBreak/>
        <w:t xml:space="preserve">A </w:t>
      </w:r>
      <w:r w:rsidRPr="00145972">
        <w:rPr>
          <w:rStyle w:val="NessunoA"/>
          <w:rFonts w:ascii="Arial" w:eastAsia="Arial" w:hAnsi="Arial" w:cs="Arial"/>
          <w:b/>
          <w:bCs/>
        </w:rPr>
        <w:t>questo link</w:t>
      </w:r>
      <w:r w:rsidRPr="00145972">
        <w:rPr>
          <w:rStyle w:val="NessunoA"/>
          <w:rFonts w:ascii="Arial" w:eastAsia="Arial" w:hAnsi="Arial" w:cs="Arial"/>
        </w:rPr>
        <w:t xml:space="preserve"> </w:t>
      </w:r>
      <w:r w:rsidR="00B47467" w:rsidRPr="00145972">
        <w:rPr>
          <w:rStyle w:val="NessunoA"/>
          <w:rFonts w:ascii="Arial" w:eastAsia="Arial" w:hAnsi="Arial" w:cs="Arial"/>
        </w:rPr>
        <w:t>l</w:t>
      </w:r>
      <w:r w:rsidRPr="00145972">
        <w:rPr>
          <w:rStyle w:val="NessunoA"/>
          <w:rFonts w:ascii="Arial" w:eastAsia="Arial" w:hAnsi="Arial" w:cs="Arial"/>
        </w:rPr>
        <w:t xml:space="preserve">a </w:t>
      </w:r>
      <w:r w:rsidRPr="00145972">
        <w:rPr>
          <w:rStyle w:val="NessunoA"/>
          <w:rFonts w:ascii="Arial" w:eastAsia="Arial" w:hAnsi="Arial" w:cs="Arial"/>
          <w:b/>
          <w:bCs/>
        </w:rPr>
        <w:t>cartella stampa</w:t>
      </w:r>
      <w:r w:rsidRPr="00EB6485">
        <w:rPr>
          <w:rStyle w:val="NessunoA"/>
          <w:rFonts w:ascii="Arial" w:eastAsia="Arial" w:hAnsi="Arial" w:cs="Arial"/>
          <w:color w:val="000000" w:themeColor="text1"/>
        </w:rPr>
        <w:t xml:space="preserve">: </w:t>
      </w:r>
      <w:hyperlink r:id="rId11" w:history="1">
        <w:r w:rsidR="00EB6485" w:rsidRPr="00EB6485">
          <w:rPr>
            <w:rStyle w:val="Collegamentoipertestuale"/>
            <w:rFonts w:ascii="Arial" w:hAnsi="Arial" w:cs="Arial"/>
            <w:color w:val="000000" w:themeColor="text1"/>
          </w:rPr>
          <w:t xml:space="preserve">Rapporto annuale 2024 - </w:t>
        </w:r>
        <w:proofErr w:type="spellStart"/>
        <w:r w:rsidR="00EB6485" w:rsidRPr="00EB6485">
          <w:rPr>
            <w:rStyle w:val="Collegamentoipertestuale"/>
            <w:rFonts w:ascii="Arial" w:hAnsi="Arial" w:cs="Arial"/>
            <w:color w:val="000000" w:themeColor="text1"/>
          </w:rPr>
          <w:t>CdC</w:t>
        </w:r>
        <w:proofErr w:type="spellEnd"/>
        <w:r w:rsidR="00EB6485" w:rsidRPr="00EB6485">
          <w:rPr>
            <w:rStyle w:val="Collegamentoipertestuale"/>
            <w:rFonts w:ascii="Arial" w:hAnsi="Arial" w:cs="Arial"/>
            <w:color w:val="000000" w:themeColor="text1"/>
          </w:rPr>
          <w:t xml:space="preserve"> RAEE | Centro di Coordinamento RAEE</w:t>
        </w:r>
      </w:hyperlink>
      <w:r w:rsidR="003A0CAA">
        <w:rPr>
          <w:rFonts w:ascii="Arial" w:hAnsi="Arial" w:cs="Arial"/>
          <w:color w:val="000000" w:themeColor="text1"/>
        </w:rPr>
        <w:t xml:space="preserve"> </w:t>
      </w:r>
    </w:p>
    <w:p w14:paraId="26CDDEB6" w14:textId="77777777" w:rsidR="003A0CAA" w:rsidRDefault="003A0CAA" w:rsidP="00C3353B">
      <w:pPr>
        <w:rPr>
          <w:rFonts w:ascii="Arial" w:hAnsi="Arial" w:cs="Arial"/>
          <w:color w:val="000000" w:themeColor="text1"/>
        </w:rPr>
      </w:pPr>
    </w:p>
    <w:p w14:paraId="065DB53A" w14:textId="77777777" w:rsidR="003A0CAA" w:rsidRPr="003A0CAA" w:rsidRDefault="003A0CAA" w:rsidP="00C3353B">
      <w:pPr>
        <w:rPr>
          <w:rStyle w:val="NessunoA"/>
          <w:color w:val="000000" w:themeColor="text1"/>
        </w:rPr>
      </w:pPr>
    </w:p>
    <w:p w14:paraId="737E96CD" w14:textId="32B01FD5" w:rsidR="0044474C" w:rsidRPr="00505B6C" w:rsidRDefault="0044474C" w:rsidP="00C055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jc w:val="both"/>
        <w:rPr>
          <w:rStyle w:val="NessunoA"/>
          <w:rFonts w:ascii="Arial" w:hAnsi="Arial" w:cs="Arial"/>
          <w:b/>
          <w:bCs/>
          <w:color w:val="3B3838"/>
          <w:sz w:val="20"/>
          <w:szCs w:val="20"/>
          <w:u w:val="single" w:color="3B3838"/>
        </w:rPr>
      </w:pPr>
      <w:r w:rsidRPr="00505B6C">
        <w:rPr>
          <w:rStyle w:val="NessunoA"/>
          <w:rFonts w:ascii="Arial" w:hAnsi="Arial" w:cs="Arial"/>
          <w:b/>
          <w:bCs/>
          <w:color w:val="3B3838"/>
          <w:sz w:val="20"/>
          <w:szCs w:val="20"/>
          <w:u w:val="single" w:color="3B3838"/>
        </w:rPr>
        <w:t xml:space="preserve">Centro di Coordinamento RAEE </w:t>
      </w:r>
    </w:p>
    <w:p w14:paraId="5A6C3CF8" w14:textId="1281ABA0" w:rsidR="0044474C" w:rsidRPr="00505B6C" w:rsidRDefault="0044474C" w:rsidP="008C3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spacing w:line="276" w:lineRule="auto"/>
        <w:jc w:val="both"/>
        <w:rPr>
          <w:rStyle w:val="NessunoA"/>
          <w:rFonts w:ascii="Arial" w:hAnsi="Arial" w:cs="Arial"/>
          <w:color w:val="3B3838"/>
          <w:sz w:val="20"/>
          <w:szCs w:val="20"/>
          <w:u w:color="3B3838"/>
        </w:rPr>
      </w:pPr>
      <w:r w:rsidRPr="00505B6C">
        <w:rPr>
          <w:rStyle w:val="NessunoA"/>
          <w:rFonts w:ascii="Arial" w:hAnsi="Arial" w:cs="Arial"/>
          <w:color w:val="3B3838"/>
          <w:sz w:val="20"/>
          <w:szCs w:val="20"/>
          <w:u w:color="3B3838"/>
        </w:rPr>
        <w:t xml:space="preserve">Il Centro di Coordinamento RAEE è un consorzio di natura privata, gestito e governato dai Sistemi Collettivi sotto la supervisione del </w:t>
      </w:r>
      <w:r w:rsidR="00CE49FF" w:rsidRPr="00505B6C">
        <w:rPr>
          <w:rFonts w:ascii="Arial" w:hAnsi="Arial" w:cs="Arial"/>
          <w:color w:val="4D5156"/>
          <w:sz w:val="20"/>
          <w:szCs w:val="20"/>
          <w:shd w:val="clear" w:color="auto" w:fill="FFFFFF"/>
        </w:rPr>
        <w:t>Ministero dell'ambiente e della sicurezza energetica</w:t>
      </w:r>
      <w:r w:rsidR="008C39C5" w:rsidRPr="00505B6C">
        <w:rPr>
          <w:rStyle w:val="apple-converted-space"/>
          <w:rFonts w:ascii="Arial" w:hAnsi="Arial" w:cs="Arial"/>
          <w:color w:val="4D5156"/>
          <w:sz w:val="20"/>
          <w:szCs w:val="20"/>
          <w:shd w:val="clear" w:color="auto" w:fill="FFFFFF"/>
        </w:rPr>
        <w:t xml:space="preserve"> </w:t>
      </w:r>
      <w:r w:rsidRPr="00505B6C">
        <w:rPr>
          <w:rStyle w:val="NessunoA"/>
          <w:rFonts w:ascii="Arial" w:hAnsi="Arial" w:cs="Arial"/>
          <w:color w:val="3B3838"/>
          <w:sz w:val="20"/>
          <w:szCs w:val="20"/>
          <w:u w:color="3B3838"/>
        </w:rPr>
        <w:t xml:space="preserve">e del Ministero </w:t>
      </w:r>
      <w:r w:rsidR="00CE49FF" w:rsidRPr="00505B6C">
        <w:rPr>
          <w:rStyle w:val="NessunoA"/>
          <w:rFonts w:ascii="Arial" w:hAnsi="Arial" w:cs="Arial"/>
          <w:color w:val="3B3838"/>
          <w:sz w:val="20"/>
          <w:szCs w:val="20"/>
          <w:u w:color="3B3838"/>
        </w:rPr>
        <w:t>delle imprese e del made in Italy</w:t>
      </w:r>
      <w:r w:rsidRPr="00505B6C">
        <w:rPr>
          <w:rStyle w:val="NessunoA"/>
          <w:rFonts w:ascii="Arial" w:hAnsi="Arial" w:cs="Arial"/>
          <w:color w:val="3B3838"/>
          <w:sz w:val="20"/>
          <w:szCs w:val="20"/>
          <w:u w:color="3B3838"/>
        </w:rPr>
        <w:t xml:space="preserve">. È costituito dai Sistemi Collettivi dei produttori di Apparecchiature Elettriche ed Elettroniche (AEE), in adempimento all’obbligo previsto dal Decreto Legislativo n. 49 del 14 marzo 2014. </w:t>
      </w:r>
    </w:p>
    <w:p w14:paraId="056BE8AA" w14:textId="1A38FE2F" w:rsidR="0044474C" w:rsidRPr="00505B6C" w:rsidRDefault="0044474C" w:rsidP="008C3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spacing w:line="276" w:lineRule="auto"/>
        <w:jc w:val="both"/>
        <w:rPr>
          <w:rStyle w:val="NessunoA"/>
          <w:rFonts w:ascii="Arial" w:hAnsi="Arial" w:cs="Arial"/>
          <w:color w:val="3B3838"/>
          <w:sz w:val="20"/>
          <w:szCs w:val="20"/>
          <w:u w:color="3B3838"/>
        </w:rPr>
      </w:pPr>
      <w:r w:rsidRPr="00505B6C">
        <w:rPr>
          <w:rStyle w:val="NessunoA"/>
          <w:rFonts w:ascii="Arial" w:hAnsi="Arial" w:cs="Arial"/>
          <w:color w:val="3B3838"/>
          <w:sz w:val="20"/>
          <w:szCs w:val="20"/>
          <w:u w:color="3B3838"/>
        </w:rPr>
        <w:t xml:space="preserve">Il compito primario del Centro di Coordinamento RAEE è garantire su tutto il territorio nazionale una corretta gestione dei RAEE originati dalla raccolta differenziata, assicurando che tutti i Sistemi Collettivi lavorino con modalità ed in condizioni operative omogenee; il Centro di Coordinamento RAEE stabilisce, inoltre, come devono essere assegnati i </w:t>
      </w:r>
      <w:r w:rsidR="00CE49FF" w:rsidRPr="00505B6C">
        <w:rPr>
          <w:rStyle w:val="NessunoA"/>
          <w:rFonts w:ascii="Arial" w:hAnsi="Arial" w:cs="Arial"/>
          <w:color w:val="3B3838"/>
          <w:sz w:val="20"/>
          <w:szCs w:val="20"/>
          <w:u w:color="3B3838"/>
        </w:rPr>
        <w:t>c</w:t>
      </w:r>
      <w:r w:rsidRPr="00505B6C">
        <w:rPr>
          <w:rStyle w:val="NessunoA"/>
          <w:rFonts w:ascii="Arial" w:hAnsi="Arial" w:cs="Arial"/>
          <w:color w:val="3B3838"/>
          <w:sz w:val="20"/>
          <w:szCs w:val="20"/>
          <w:u w:color="3B3838"/>
        </w:rPr>
        <w:t xml:space="preserve">entri di </w:t>
      </w:r>
      <w:r w:rsidR="00CE49FF" w:rsidRPr="00505B6C">
        <w:rPr>
          <w:rStyle w:val="NessunoA"/>
          <w:rFonts w:ascii="Arial" w:hAnsi="Arial" w:cs="Arial"/>
          <w:color w:val="3B3838"/>
          <w:sz w:val="20"/>
          <w:szCs w:val="20"/>
          <w:u w:color="3B3838"/>
        </w:rPr>
        <w:t>r</w:t>
      </w:r>
      <w:r w:rsidRPr="00505B6C">
        <w:rPr>
          <w:rStyle w:val="NessunoA"/>
          <w:rFonts w:ascii="Arial" w:hAnsi="Arial" w:cs="Arial"/>
          <w:color w:val="3B3838"/>
          <w:sz w:val="20"/>
          <w:szCs w:val="20"/>
          <w:u w:color="3B3838"/>
        </w:rPr>
        <w:t xml:space="preserve">accolta RAEE ai diversi Sistemi Collettivi. </w:t>
      </w:r>
    </w:p>
    <w:p w14:paraId="17C96AD2" w14:textId="77777777" w:rsidR="0044474C" w:rsidRPr="00064461" w:rsidRDefault="0044474C" w:rsidP="00C055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jc w:val="both"/>
        <w:rPr>
          <w:rStyle w:val="NessunoA"/>
          <w:rFonts w:ascii="Arial" w:eastAsia="Arial" w:hAnsi="Arial" w:cs="Arial"/>
          <w:u w:color="3B3838"/>
        </w:rPr>
      </w:pPr>
    </w:p>
    <w:p w14:paraId="2513C272" w14:textId="77777777" w:rsidR="0044474C" w:rsidRPr="00160F5D" w:rsidRDefault="0044474C" w:rsidP="00C055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jc w:val="both"/>
        <w:rPr>
          <w:rStyle w:val="NessunoA"/>
          <w:rFonts w:ascii="Arial" w:hAnsi="Arial" w:cs="Arial"/>
          <w:b/>
          <w:bCs/>
          <w:sz w:val="20"/>
          <w:szCs w:val="20"/>
          <w:u w:val="single" w:color="3B3838"/>
        </w:rPr>
      </w:pPr>
      <w:r w:rsidRPr="00160F5D">
        <w:rPr>
          <w:rStyle w:val="NessunoA"/>
          <w:rFonts w:ascii="Arial" w:hAnsi="Arial" w:cs="Arial"/>
          <w:b/>
          <w:bCs/>
          <w:sz w:val="20"/>
          <w:szCs w:val="20"/>
          <w:u w:val="single" w:color="3B3838"/>
        </w:rPr>
        <w:t>Per maggiori informazioni:</w:t>
      </w:r>
    </w:p>
    <w:p w14:paraId="0217662F" w14:textId="77777777" w:rsidR="0044474C" w:rsidRPr="00160F5D" w:rsidRDefault="0044474C" w:rsidP="00C055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jc w:val="both"/>
        <w:rPr>
          <w:rStyle w:val="NessunoA"/>
          <w:rFonts w:ascii="Arial" w:hAnsi="Arial" w:cs="Arial"/>
          <w:b/>
          <w:bCs/>
          <w:sz w:val="20"/>
          <w:szCs w:val="20"/>
          <w:u w:color="3B3838"/>
        </w:rPr>
      </w:pPr>
      <w:r w:rsidRPr="00160F5D">
        <w:rPr>
          <w:rStyle w:val="NessunoA"/>
          <w:rFonts w:ascii="Arial" w:hAnsi="Arial" w:cs="Arial"/>
          <w:b/>
          <w:bCs/>
          <w:sz w:val="20"/>
          <w:szCs w:val="20"/>
          <w:u w:color="3B3838"/>
        </w:rPr>
        <w:t>Ufficio Stampa Centro di Coordinamento RAEE</w:t>
      </w:r>
    </w:p>
    <w:p w14:paraId="61E9E87B" w14:textId="409C7BC7" w:rsidR="00FA0082" w:rsidRPr="00160F5D" w:rsidRDefault="0044474C" w:rsidP="00C055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jc w:val="both"/>
        <w:rPr>
          <w:rFonts w:ascii="Arial" w:hAnsi="Arial" w:cs="Arial"/>
          <w:sz w:val="20"/>
          <w:szCs w:val="20"/>
        </w:rPr>
      </w:pPr>
      <w:r w:rsidRPr="00160F5D">
        <w:rPr>
          <w:rStyle w:val="NessunoA"/>
          <w:rFonts w:ascii="Arial" w:hAnsi="Arial" w:cs="Arial"/>
          <w:b/>
          <w:bCs/>
          <w:sz w:val="20"/>
          <w:szCs w:val="20"/>
          <w:u w:color="3B3838"/>
        </w:rPr>
        <w:t xml:space="preserve">Elena Scandroglio - </w:t>
      </w:r>
      <w:hyperlink r:id="rId12" w:history="1">
        <w:r w:rsidRPr="00160F5D">
          <w:rPr>
            <w:rStyle w:val="Hyperlink0"/>
            <w:rFonts w:ascii="Arial" w:hAnsi="Arial" w:cs="Arial"/>
            <w:sz w:val="20"/>
            <w:szCs w:val="20"/>
            <w:lang w:val="it-IT"/>
          </w:rPr>
          <w:t>ufficiostampa@cdcraee.it</w:t>
        </w:r>
      </w:hyperlink>
      <w:r w:rsidRPr="00160F5D">
        <w:rPr>
          <w:rStyle w:val="NessunoA"/>
          <w:rFonts w:ascii="Arial" w:hAnsi="Arial" w:cs="Arial"/>
          <w:sz w:val="20"/>
          <w:szCs w:val="20"/>
          <w:u w:color="3B3838"/>
        </w:rPr>
        <w:t xml:space="preserve"> </w:t>
      </w:r>
      <w:r w:rsidR="009453B8" w:rsidRPr="00160F5D">
        <w:rPr>
          <w:rStyle w:val="NessunoA"/>
          <w:rFonts w:ascii="Arial" w:hAnsi="Arial" w:cs="Arial"/>
          <w:sz w:val="20"/>
          <w:szCs w:val="20"/>
          <w:u w:color="3B3838"/>
        </w:rPr>
        <w:t xml:space="preserve">- </w:t>
      </w:r>
      <w:proofErr w:type="spellStart"/>
      <w:r w:rsidRPr="00160F5D">
        <w:rPr>
          <w:rStyle w:val="NessunoA"/>
          <w:rFonts w:ascii="Arial" w:hAnsi="Arial" w:cs="Arial"/>
          <w:sz w:val="20"/>
          <w:szCs w:val="20"/>
          <w:u w:color="3B3838"/>
        </w:rPr>
        <w:t>cell</w:t>
      </w:r>
      <w:proofErr w:type="spellEnd"/>
      <w:r w:rsidRPr="00160F5D">
        <w:rPr>
          <w:rStyle w:val="NessunoA"/>
          <w:rFonts w:ascii="Arial" w:hAnsi="Arial" w:cs="Arial"/>
          <w:sz w:val="20"/>
          <w:szCs w:val="20"/>
          <w:u w:color="3B3838"/>
        </w:rPr>
        <w:t xml:space="preserve">. </w:t>
      </w:r>
      <w:r w:rsidRPr="00160F5D">
        <w:rPr>
          <w:rStyle w:val="NessunoA"/>
          <w:rFonts w:ascii="Arial" w:hAnsi="Arial" w:cs="Arial"/>
          <w:sz w:val="20"/>
          <w:szCs w:val="20"/>
          <w:u w:color="3B3838"/>
          <w:lang w:val="en-US"/>
        </w:rPr>
        <w:t>3397289422</w:t>
      </w:r>
    </w:p>
    <w:sectPr w:rsidR="00FA0082" w:rsidRPr="00160F5D" w:rsidSect="00A515F6">
      <w:headerReference w:type="default" r:id="rId13"/>
      <w:pgSz w:w="11900" w:h="16840"/>
      <w:pgMar w:top="1440" w:right="1080" w:bottom="1440" w:left="108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15D9C" w14:textId="77777777" w:rsidR="00875B58" w:rsidRDefault="00875B58">
      <w:r>
        <w:separator/>
      </w:r>
    </w:p>
  </w:endnote>
  <w:endnote w:type="continuationSeparator" w:id="0">
    <w:p w14:paraId="07B13CA2" w14:textId="77777777" w:rsidR="00875B58" w:rsidRDefault="0087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268C9" w14:textId="77777777" w:rsidR="00875B58" w:rsidRDefault="00875B58">
      <w:r>
        <w:separator/>
      </w:r>
    </w:p>
  </w:footnote>
  <w:footnote w:type="continuationSeparator" w:id="0">
    <w:p w14:paraId="47133267" w14:textId="77777777" w:rsidR="00875B58" w:rsidRDefault="00875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A5DEF" w14:textId="77777777" w:rsidR="00FA0082" w:rsidRDefault="006D682B">
    <w:pPr>
      <w:pStyle w:val="Intestazione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9264" behindDoc="1" locked="0" layoutInCell="1" allowOverlap="1" wp14:anchorId="6BE5D8B5" wp14:editId="6BB78A8B">
              <wp:simplePos x="0" y="0"/>
              <wp:positionH relativeFrom="page">
                <wp:posOffset>4403725</wp:posOffset>
              </wp:positionH>
              <wp:positionV relativeFrom="page">
                <wp:posOffset>718184</wp:posOffset>
              </wp:positionV>
              <wp:extent cx="2658121" cy="385457"/>
              <wp:effectExtent l="0" t="0" r="0" b="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58121" cy="385457"/>
                        <a:chOff x="-1" y="0"/>
                        <a:chExt cx="2658120" cy="385456"/>
                      </a:xfrm>
                    </wpg:grpSpPr>
                    <wps:wsp>
                      <wps:cNvPr id="1073741826" name="Shape 1073741826"/>
                      <wps:cNvSpPr/>
                      <wps:spPr>
                        <a:xfrm>
                          <a:off x="-2" y="-1"/>
                          <a:ext cx="2658121" cy="3854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wps:wsp>
                      <wps:cNvPr id="1073741827" name="Shape 1073741827"/>
                      <wps:cNvSpPr/>
                      <wps:spPr>
                        <a:xfrm>
                          <a:off x="-2" y="-1"/>
                          <a:ext cx="2658121" cy="38545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6233864" w14:textId="77777777" w:rsidR="00FA0082" w:rsidRDefault="006D682B">
                            <w:pPr>
                              <w:jc w:val="right"/>
                            </w:pPr>
                            <w:r>
                              <w:rPr>
                                <w:rStyle w:val="NessunoA"/>
                                <w:rFonts w:ascii="Verdana" w:hAnsi="Verdana"/>
                                <w:color w:val="3B3838"/>
                                <w:u w:color="3B3838"/>
                              </w:rPr>
                              <w:t>COMUNICATO STAMPA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BE5D8B5" id="officeArt object" o:spid="_x0000_s1026" style="position:absolute;margin-left:346.75pt;margin-top:56.55pt;width:209.3pt;height:30.35pt;z-index:-251657216;mso-wrap-distance-left:12pt;mso-wrap-distance-top:12pt;mso-wrap-distance-right:12pt;mso-wrap-distance-bottom:12pt;mso-position-horizontal-relative:page;mso-position-vertical-relative:page" coordorigin="" coordsize="26581,3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">
              <v:rect id="Shape 1073741826" o:spid="_x0000_s1027" style="position:absolute;width:26581;height:3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" strokecolor="white"/>
              <v:rect id="Shape 1073741827" o:spid="_x0000_s1028" style="position:absolute;width:26581;height:3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" filled="f" stroked="f" strokeweight="1pt">
                <v:stroke miterlimit="4"/>
                <v:textbox inset="1.2699mm,1.2699mm,1.2699mm,1.2699mm">
                  <w:txbxContent>
                    <w:p w14:paraId="66233864" w14:textId="77777777" w:rsidR="00FA0082" w:rsidRDefault="006D682B">
                      <w:pPr>
                        <w:jc w:val="right"/>
                      </w:pPr>
                      <w:r>
                        <w:rPr>
                          <w:rStyle w:val="NessunoA"/>
                          <w:rFonts w:ascii="Verdana" w:hAnsi="Verdana"/>
                          <w:color w:val="3B3838"/>
                          <w:u w:color="3B3838"/>
                        </w:rPr>
                        <w:t>COMUNICATO STAMPA</w:t>
                      </w:r>
                      <w:r>
                        <w:t xml:space="preserve"> 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</w:rPr>
      <w:drawing>
        <wp:inline distT="0" distB="0" distL="0" distR="0" wp14:anchorId="7B4ADAD2" wp14:editId="01B9B2E3">
          <wp:extent cx="2428876" cy="876300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/>
                  <a:srcRect l="5555"/>
                  <a:stretch>
                    <a:fillRect/>
                  </a:stretch>
                </pic:blipFill>
                <pic:spPr>
                  <a:xfrm>
                    <a:off x="0" y="0"/>
                    <a:ext cx="2428876" cy="8763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F926787" w14:textId="77777777" w:rsidR="00FA0082" w:rsidRDefault="00FA0082">
    <w:pPr>
      <w:pStyle w:val="Intestazione"/>
    </w:pPr>
  </w:p>
  <w:p w14:paraId="1E9A6762" w14:textId="77777777" w:rsidR="00FA0082" w:rsidRDefault="006D682B">
    <w:pPr>
      <w:pStyle w:val="Intestazione"/>
    </w:pPr>
    <w:r>
      <w:tab/>
    </w:r>
  </w:p>
  <w:p w14:paraId="247CDD11" w14:textId="77777777" w:rsidR="00FA0082" w:rsidRDefault="006D682B">
    <w:pPr>
      <w:pStyle w:val="Intestazione"/>
    </w:pP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A4A1C"/>
    <w:multiLevelType w:val="multilevel"/>
    <w:tmpl w:val="99D8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44E7D1C"/>
    <w:multiLevelType w:val="hybridMultilevel"/>
    <w:tmpl w:val="480ED818"/>
    <w:lvl w:ilvl="0" w:tplc="9F9007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296551">
    <w:abstractNumId w:val="0"/>
  </w:num>
  <w:num w:numId="2" w16cid:durableId="1360542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4C"/>
    <w:rsid w:val="00004127"/>
    <w:rsid w:val="00004F8C"/>
    <w:rsid w:val="00011655"/>
    <w:rsid w:val="00015406"/>
    <w:rsid w:val="00020EAA"/>
    <w:rsid w:val="0003365A"/>
    <w:rsid w:val="00033847"/>
    <w:rsid w:val="0003488E"/>
    <w:rsid w:val="000410AC"/>
    <w:rsid w:val="00045376"/>
    <w:rsid w:val="00050F7F"/>
    <w:rsid w:val="00051E69"/>
    <w:rsid w:val="00055038"/>
    <w:rsid w:val="00060621"/>
    <w:rsid w:val="00063A0E"/>
    <w:rsid w:val="00064461"/>
    <w:rsid w:val="0007374F"/>
    <w:rsid w:val="00076918"/>
    <w:rsid w:val="00077989"/>
    <w:rsid w:val="00084F41"/>
    <w:rsid w:val="000860C1"/>
    <w:rsid w:val="00091F66"/>
    <w:rsid w:val="00094FC6"/>
    <w:rsid w:val="000A1F8E"/>
    <w:rsid w:val="000A4BB4"/>
    <w:rsid w:val="000B01BE"/>
    <w:rsid w:val="000C06B0"/>
    <w:rsid w:val="000C2CBD"/>
    <w:rsid w:val="000C58C1"/>
    <w:rsid w:val="000C5B4A"/>
    <w:rsid w:val="000C7245"/>
    <w:rsid w:val="000E4D61"/>
    <w:rsid w:val="000F1D88"/>
    <w:rsid w:val="00100026"/>
    <w:rsid w:val="00104AD1"/>
    <w:rsid w:val="001068AA"/>
    <w:rsid w:val="00106948"/>
    <w:rsid w:val="001071E9"/>
    <w:rsid w:val="001104B8"/>
    <w:rsid w:val="00110ED1"/>
    <w:rsid w:val="00112F67"/>
    <w:rsid w:val="00114E25"/>
    <w:rsid w:val="00117349"/>
    <w:rsid w:val="001265C6"/>
    <w:rsid w:val="00137000"/>
    <w:rsid w:val="0014282A"/>
    <w:rsid w:val="00145972"/>
    <w:rsid w:val="00146046"/>
    <w:rsid w:val="001605A2"/>
    <w:rsid w:val="00160F5D"/>
    <w:rsid w:val="00161FAF"/>
    <w:rsid w:val="00162BFF"/>
    <w:rsid w:val="00162E54"/>
    <w:rsid w:val="00164461"/>
    <w:rsid w:val="0016508F"/>
    <w:rsid w:val="00171E98"/>
    <w:rsid w:val="00176626"/>
    <w:rsid w:val="00177D0E"/>
    <w:rsid w:val="001A1158"/>
    <w:rsid w:val="001A1627"/>
    <w:rsid w:val="001A1948"/>
    <w:rsid w:val="001A1D99"/>
    <w:rsid w:val="001B07D3"/>
    <w:rsid w:val="001B12F5"/>
    <w:rsid w:val="001B2209"/>
    <w:rsid w:val="001C2F5A"/>
    <w:rsid w:val="001C7BA2"/>
    <w:rsid w:val="001D2AF7"/>
    <w:rsid w:val="001D5496"/>
    <w:rsid w:val="001D7652"/>
    <w:rsid w:val="001E2202"/>
    <w:rsid w:val="001E2AAC"/>
    <w:rsid w:val="001E582E"/>
    <w:rsid w:val="001F025D"/>
    <w:rsid w:val="001F4A67"/>
    <w:rsid w:val="00213160"/>
    <w:rsid w:val="00213E80"/>
    <w:rsid w:val="0021770A"/>
    <w:rsid w:val="002307CE"/>
    <w:rsid w:val="002518A1"/>
    <w:rsid w:val="0025230F"/>
    <w:rsid w:val="00262314"/>
    <w:rsid w:val="00267E1A"/>
    <w:rsid w:val="00270BF3"/>
    <w:rsid w:val="0028689A"/>
    <w:rsid w:val="00287DFB"/>
    <w:rsid w:val="00293BA2"/>
    <w:rsid w:val="002959DC"/>
    <w:rsid w:val="002A48CE"/>
    <w:rsid w:val="002B458B"/>
    <w:rsid w:val="002D44E6"/>
    <w:rsid w:val="002E0F0D"/>
    <w:rsid w:val="002F0A6C"/>
    <w:rsid w:val="002F2E3C"/>
    <w:rsid w:val="002F4B7E"/>
    <w:rsid w:val="002F6BFF"/>
    <w:rsid w:val="003115A7"/>
    <w:rsid w:val="003122D4"/>
    <w:rsid w:val="00315151"/>
    <w:rsid w:val="00327FE4"/>
    <w:rsid w:val="0033291D"/>
    <w:rsid w:val="00336BCE"/>
    <w:rsid w:val="00340BBC"/>
    <w:rsid w:val="00343F60"/>
    <w:rsid w:val="00345148"/>
    <w:rsid w:val="00345C3A"/>
    <w:rsid w:val="003654E8"/>
    <w:rsid w:val="00372348"/>
    <w:rsid w:val="00373000"/>
    <w:rsid w:val="003743F0"/>
    <w:rsid w:val="00384E6A"/>
    <w:rsid w:val="003857CB"/>
    <w:rsid w:val="00386D60"/>
    <w:rsid w:val="0039678D"/>
    <w:rsid w:val="003A0CAA"/>
    <w:rsid w:val="003A0E30"/>
    <w:rsid w:val="003A22D4"/>
    <w:rsid w:val="003B4042"/>
    <w:rsid w:val="003B54F4"/>
    <w:rsid w:val="003B552C"/>
    <w:rsid w:val="003C3136"/>
    <w:rsid w:val="003C3D1F"/>
    <w:rsid w:val="003C5951"/>
    <w:rsid w:val="003D3CDC"/>
    <w:rsid w:val="003E04AC"/>
    <w:rsid w:val="003E6FE1"/>
    <w:rsid w:val="003E7953"/>
    <w:rsid w:val="003F6BAF"/>
    <w:rsid w:val="00404349"/>
    <w:rsid w:val="00412ADD"/>
    <w:rsid w:val="00422AF4"/>
    <w:rsid w:val="00422CD2"/>
    <w:rsid w:val="00425A01"/>
    <w:rsid w:val="004318D0"/>
    <w:rsid w:val="004339D5"/>
    <w:rsid w:val="00434552"/>
    <w:rsid w:val="00437A85"/>
    <w:rsid w:val="0044474C"/>
    <w:rsid w:val="004449BC"/>
    <w:rsid w:val="00447FE2"/>
    <w:rsid w:val="0046564D"/>
    <w:rsid w:val="004662A9"/>
    <w:rsid w:val="004712A1"/>
    <w:rsid w:val="0047144A"/>
    <w:rsid w:val="00471E50"/>
    <w:rsid w:val="004755A1"/>
    <w:rsid w:val="00480AB7"/>
    <w:rsid w:val="0048156A"/>
    <w:rsid w:val="00485145"/>
    <w:rsid w:val="00495995"/>
    <w:rsid w:val="004A2907"/>
    <w:rsid w:val="004B0BB5"/>
    <w:rsid w:val="004C13A0"/>
    <w:rsid w:val="004C2281"/>
    <w:rsid w:val="004C3FB5"/>
    <w:rsid w:val="004D56A4"/>
    <w:rsid w:val="004E62ED"/>
    <w:rsid w:val="004E789C"/>
    <w:rsid w:val="004F3394"/>
    <w:rsid w:val="004F51AF"/>
    <w:rsid w:val="004F542C"/>
    <w:rsid w:val="004F6140"/>
    <w:rsid w:val="00501E45"/>
    <w:rsid w:val="005041E3"/>
    <w:rsid w:val="00504B10"/>
    <w:rsid w:val="00505B6C"/>
    <w:rsid w:val="00513693"/>
    <w:rsid w:val="005209C3"/>
    <w:rsid w:val="005211A9"/>
    <w:rsid w:val="005279E1"/>
    <w:rsid w:val="00532889"/>
    <w:rsid w:val="00536B18"/>
    <w:rsid w:val="00560C0B"/>
    <w:rsid w:val="00567025"/>
    <w:rsid w:val="0057025B"/>
    <w:rsid w:val="005715DF"/>
    <w:rsid w:val="00572FB7"/>
    <w:rsid w:val="0058547F"/>
    <w:rsid w:val="0059254D"/>
    <w:rsid w:val="00594109"/>
    <w:rsid w:val="005A28A0"/>
    <w:rsid w:val="005A4823"/>
    <w:rsid w:val="005B644B"/>
    <w:rsid w:val="005C2723"/>
    <w:rsid w:val="005C796D"/>
    <w:rsid w:val="005D12E1"/>
    <w:rsid w:val="005D424D"/>
    <w:rsid w:val="005D66B4"/>
    <w:rsid w:val="005D770A"/>
    <w:rsid w:val="005E338D"/>
    <w:rsid w:val="005E67F7"/>
    <w:rsid w:val="005F3564"/>
    <w:rsid w:val="006300EC"/>
    <w:rsid w:val="00633778"/>
    <w:rsid w:val="0063533E"/>
    <w:rsid w:val="006451BE"/>
    <w:rsid w:val="00647314"/>
    <w:rsid w:val="00653C05"/>
    <w:rsid w:val="006545AB"/>
    <w:rsid w:val="00655DBA"/>
    <w:rsid w:val="00660270"/>
    <w:rsid w:val="00663DE6"/>
    <w:rsid w:val="00671114"/>
    <w:rsid w:val="00674B5F"/>
    <w:rsid w:val="00675BB0"/>
    <w:rsid w:val="00683AAC"/>
    <w:rsid w:val="006B02FB"/>
    <w:rsid w:val="006B1335"/>
    <w:rsid w:val="006D0B33"/>
    <w:rsid w:val="006D682B"/>
    <w:rsid w:val="006F1129"/>
    <w:rsid w:val="006F33B5"/>
    <w:rsid w:val="006F6658"/>
    <w:rsid w:val="006F6A9C"/>
    <w:rsid w:val="00701BBE"/>
    <w:rsid w:val="00706E4D"/>
    <w:rsid w:val="00714016"/>
    <w:rsid w:val="00714709"/>
    <w:rsid w:val="00715A80"/>
    <w:rsid w:val="00721937"/>
    <w:rsid w:val="00721B66"/>
    <w:rsid w:val="0073018E"/>
    <w:rsid w:val="00732E21"/>
    <w:rsid w:val="00733544"/>
    <w:rsid w:val="00750857"/>
    <w:rsid w:val="0075102A"/>
    <w:rsid w:val="00763467"/>
    <w:rsid w:val="00772C43"/>
    <w:rsid w:val="00781F4E"/>
    <w:rsid w:val="0078419D"/>
    <w:rsid w:val="00786B17"/>
    <w:rsid w:val="0079199C"/>
    <w:rsid w:val="007A1B3D"/>
    <w:rsid w:val="007A5856"/>
    <w:rsid w:val="007B11A0"/>
    <w:rsid w:val="007B1E56"/>
    <w:rsid w:val="007B3663"/>
    <w:rsid w:val="007C0157"/>
    <w:rsid w:val="007C16AD"/>
    <w:rsid w:val="007C4865"/>
    <w:rsid w:val="007D06A1"/>
    <w:rsid w:val="007D51B7"/>
    <w:rsid w:val="007D56C7"/>
    <w:rsid w:val="007D6491"/>
    <w:rsid w:val="007E03F7"/>
    <w:rsid w:val="007E3C75"/>
    <w:rsid w:val="007E4B87"/>
    <w:rsid w:val="007E57C5"/>
    <w:rsid w:val="007E61CE"/>
    <w:rsid w:val="007F74C9"/>
    <w:rsid w:val="008053E0"/>
    <w:rsid w:val="008062A1"/>
    <w:rsid w:val="0081149D"/>
    <w:rsid w:val="00811F09"/>
    <w:rsid w:val="008224F9"/>
    <w:rsid w:val="00824DB8"/>
    <w:rsid w:val="008310B7"/>
    <w:rsid w:val="00831E9D"/>
    <w:rsid w:val="00853075"/>
    <w:rsid w:val="00861C22"/>
    <w:rsid w:val="00862DB5"/>
    <w:rsid w:val="00870D9A"/>
    <w:rsid w:val="00875B58"/>
    <w:rsid w:val="0088049C"/>
    <w:rsid w:val="00886F12"/>
    <w:rsid w:val="008875D1"/>
    <w:rsid w:val="00892935"/>
    <w:rsid w:val="00892B8B"/>
    <w:rsid w:val="00893363"/>
    <w:rsid w:val="008A33B3"/>
    <w:rsid w:val="008B4286"/>
    <w:rsid w:val="008B5D1B"/>
    <w:rsid w:val="008C1CF3"/>
    <w:rsid w:val="008C30E9"/>
    <w:rsid w:val="008C39C5"/>
    <w:rsid w:val="008D16BC"/>
    <w:rsid w:val="008F0DB7"/>
    <w:rsid w:val="008F4CAA"/>
    <w:rsid w:val="00903E58"/>
    <w:rsid w:val="009068EB"/>
    <w:rsid w:val="0091174C"/>
    <w:rsid w:val="00911F82"/>
    <w:rsid w:val="0091366B"/>
    <w:rsid w:val="0091485D"/>
    <w:rsid w:val="00930718"/>
    <w:rsid w:val="00930839"/>
    <w:rsid w:val="00934568"/>
    <w:rsid w:val="00940DEE"/>
    <w:rsid w:val="00941646"/>
    <w:rsid w:val="009435F6"/>
    <w:rsid w:val="00943E4A"/>
    <w:rsid w:val="009453B8"/>
    <w:rsid w:val="009526E2"/>
    <w:rsid w:val="009539F1"/>
    <w:rsid w:val="00955676"/>
    <w:rsid w:val="00963DA7"/>
    <w:rsid w:val="00963DFE"/>
    <w:rsid w:val="00966E37"/>
    <w:rsid w:val="00974D5E"/>
    <w:rsid w:val="009836DB"/>
    <w:rsid w:val="009854B0"/>
    <w:rsid w:val="009955FB"/>
    <w:rsid w:val="009A7083"/>
    <w:rsid w:val="009B05FA"/>
    <w:rsid w:val="009B1583"/>
    <w:rsid w:val="009B43AB"/>
    <w:rsid w:val="009B73D0"/>
    <w:rsid w:val="009B7702"/>
    <w:rsid w:val="009C08A8"/>
    <w:rsid w:val="009C3308"/>
    <w:rsid w:val="009C3E70"/>
    <w:rsid w:val="009C6060"/>
    <w:rsid w:val="009C6C16"/>
    <w:rsid w:val="009C7173"/>
    <w:rsid w:val="009D7187"/>
    <w:rsid w:val="009D79D3"/>
    <w:rsid w:val="009E0617"/>
    <w:rsid w:val="009E78DE"/>
    <w:rsid w:val="00A00FCF"/>
    <w:rsid w:val="00A027D5"/>
    <w:rsid w:val="00A027EA"/>
    <w:rsid w:val="00A03D6E"/>
    <w:rsid w:val="00A10446"/>
    <w:rsid w:val="00A15638"/>
    <w:rsid w:val="00A239CC"/>
    <w:rsid w:val="00A31559"/>
    <w:rsid w:val="00A469C0"/>
    <w:rsid w:val="00A515F6"/>
    <w:rsid w:val="00A54E82"/>
    <w:rsid w:val="00A56F21"/>
    <w:rsid w:val="00A676C2"/>
    <w:rsid w:val="00A72578"/>
    <w:rsid w:val="00A72A7A"/>
    <w:rsid w:val="00A74BBF"/>
    <w:rsid w:val="00A76228"/>
    <w:rsid w:val="00A80694"/>
    <w:rsid w:val="00A849CA"/>
    <w:rsid w:val="00A93518"/>
    <w:rsid w:val="00A978E0"/>
    <w:rsid w:val="00AA5F54"/>
    <w:rsid w:val="00AB5EAE"/>
    <w:rsid w:val="00AC59F6"/>
    <w:rsid w:val="00AE5E50"/>
    <w:rsid w:val="00AF550B"/>
    <w:rsid w:val="00AF755D"/>
    <w:rsid w:val="00B02779"/>
    <w:rsid w:val="00B03EAC"/>
    <w:rsid w:val="00B061EE"/>
    <w:rsid w:val="00B13E7F"/>
    <w:rsid w:val="00B14E9B"/>
    <w:rsid w:val="00B22BF0"/>
    <w:rsid w:val="00B23F89"/>
    <w:rsid w:val="00B24953"/>
    <w:rsid w:val="00B24D51"/>
    <w:rsid w:val="00B30E9A"/>
    <w:rsid w:val="00B37395"/>
    <w:rsid w:val="00B406BB"/>
    <w:rsid w:val="00B47467"/>
    <w:rsid w:val="00B51825"/>
    <w:rsid w:val="00B51D7E"/>
    <w:rsid w:val="00B55C8A"/>
    <w:rsid w:val="00B65081"/>
    <w:rsid w:val="00B67FC3"/>
    <w:rsid w:val="00B70DF8"/>
    <w:rsid w:val="00B72FD0"/>
    <w:rsid w:val="00B773F1"/>
    <w:rsid w:val="00B77929"/>
    <w:rsid w:val="00B83927"/>
    <w:rsid w:val="00B96983"/>
    <w:rsid w:val="00BA21DC"/>
    <w:rsid w:val="00BA2C14"/>
    <w:rsid w:val="00BA792C"/>
    <w:rsid w:val="00BA7AB0"/>
    <w:rsid w:val="00BB082D"/>
    <w:rsid w:val="00BC527F"/>
    <w:rsid w:val="00BC7EEF"/>
    <w:rsid w:val="00BD2C84"/>
    <w:rsid w:val="00BF3286"/>
    <w:rsid w:val="00BF5649"/>
    <w:rsid w:val="00C01493"/>
    <w:rsid w:val="00C05554"/>
    <w:rsid w:val="00C12819"/>
    <w:rsid w:val="00C22C85"/>
    <w:rsid w:val="00C3353B"/>
    <w:rsid w:val="00C40D9D"/>
    <w:rsid w:val="00C42694"/>
    <w:rsid w:val="00C43D72"/>
    <w:rsid w:val="00C44762"/>
    <w:rsid w:val="00C50967"/>
    <w:rsid w:val="00C5150D"/>
    <w:rsid w:val="00C540A8"/>
    <w:rsid w:val="00C543DA"/>
    <w:rsid w:val="00C62818"/>
    <w:rsid w:val="00C63BEF"/>
    <w:rsid w:val="00C64E91"/>
    <w:rsid w:val="00C7794E"/>
    <w:rsid w:val="00C87D5E"/>
    <w:rsid w:val="00CA0058"/>
    <w:rsid w:val="00CA19F9"/>
    <w:rsid w:val="00CA4124"/>
    <w:rsid w:val="00CA7584"/>
    <w:rsid w:val="00CB2470"/>
    <w:rsid w:val="00CB51B3"/>
    <w:rsid w:val="00CC082B"/>
    <w:rsid w:val="00CC2E83"/>
    <w:rsid w:val="00CD331E"/>
    <w:rsid w:val="00CD4F92"/>
    <w:rsid w:val="00CD6A30"/>
    <w:rsid w:val="00CD7805"/>
    <w:rsid w:val="00CE25DF"/>
    <w:rsid w:val="00CE49FF"/>
    <w:rsid w:val="00CF5CD5"/>
    <w:rsid w:val="00D0206A"/>
    <w:rsid w:val="00D05899"/>
    <w:rsid w:val="00D0646C"/>
    <w:rsid w:val="00D06833"/>
    <w:rsid w:val="00D14D4A"/>
    <w:rsid w:val="00D2300A"/>
    <w:rsid w:val="00D34EDC"/>
    <w:rsid w:val="00D44CA4"/>
    <w:rsid w:val="00D5746F"/>
    <w:rsid w:val="00D61835"/>
    <w:rsid w:val="00D70B96"/>
    <w:rsid w:val="00D721FA"/>
    <w:rsid w:val="00D7598D"/>
    <w:rsid w:val="00D94EBB"/>
    <w:rsid w:val="00DA4269"/>
    <w:rsid w:val="00DA6B61"/>
    <w:rsid w:val="00DB1218"/>
    <w:rsid w:val="00DB3CA1"/>
    <w:rsid w:val="00DB43F3"/>
    <w:rsid w:val="00DC1727"/>
    <w:rsid w:val="00DC219A"/>
    <w:rsid w:val="00DC40F8"/>
    <w:rsid w:val="00DC5647"/>
    <w:rsid w:val="00DD5C47"/>
    <w:rsid w:val="00DE2177"/>
    <w:rsid w:val="00DF37B9"/>
    <w:rsid w:val="00E00D8E"/>
    <w:rsid w:val="00E0473A"/>
    <w:rsid w:val="00E062C2"/>
    <w:rsid w:val="00E11A25"/>
    <w:rsid w:val="00E13EAB"/>
    <w:rsid w:val="00E150ED"/>
    <w:rsid w:val="00E20E0B"/>
    <w:rsid w:val="00E27978"/>
    <w:rsid w:val="00E341BB"/>
    <w:rsid w:val="00E4788D"/>
    <w:rsid w:val="00E50F60"/>
    <w:rsid w:val="00E638BE"/>
    <w:rsid w:val="00E673C6"/>
    <w:rsid w:val="00E67B53"/>
    <w:rsid w:val="00E704D2"/>
    <w:rsid w:val="00E72450"/>
    <w:rsid w:val="00E81300"/>
    <w:rsid w:val="00E82F0E"/>
    <w:rsid w:val="00E861E7"/>
    <w:rsid w:val="00E86622"/>
    <w:rsid w:val="00E93331"/>
    <w:rsid w:val="00E95C82"/>
    <w:rsid w:val="00EA3BE0"/>
    <w:rsid w:val="00EB28E4"/>
    <w:rsid w:val="00EB5B79"/>
    <w:rsid w:val="00EB5DA3"/>
    <w:rsid w:val="00EB6485"/>
    <w:rsid w:val="00EB6996"/>
    <w:rsid w:val="00EC612C"/>
    <w:rsid w:val="00EC709D"/>
    <w:rsid w:val="00ED44A3"/>
    <w:rsid w:val="00EE2A25"/>
    <w:rsid w:val="00EE2B96"/>
    <w:rsid w:val="00EE336F"/>
    <w:rsid w:val="00EE5480"/>
    <w:rsid w:val="00EE598C"/>
    <w:rsid w:val="00EE79F0"/>
    <w:rsid w:val="00EF2452"/>
    <w:rsid w:val="00EF3DCC"/>
    <w:rsid w:val="00EF7B99"/>
    <w:rsid w:val="00F0590A"/>
    <w:rsid w:val="00F068DA"/>
    <w:rsid w:val="00F11A8F"/>
    <w:rsid w:val="00F1240D"/>
    <w:rsid w:val="00F13524"/>
    <w:rsid w:val="00F13B31"/>
    <w:rsid w:val="00F16163"/>
    <w:rsid w:val="00F24727"/>
    <w:rsid w:val="00F60B6E"/>
    <w:rsid w:val="00F6362D"/>
    <w:rsid w:val="00F640B4"/>
    <w:rsid w:val="00F662A5"/>
    <w:rsid w:val="00F77086"/>
    <w:rsid w:val="00F819E4"/>
    <w:rsid w:val="00F85C8A"/>
    <w:rsid w:val="00F9156E"/>
    <w:rsid w:val="00F94866"/>
    <w:rsid w:val="00F94E23"/>
    <w:rsid w:val="00F97600"/>
    <w:rsid w:val="00FA0082"/>
    <w:rsid w:val="00FA5627"/>
    <w:rsid w:val="00FA7C24"/>
    <w:rsid w:val="00FB3044"/>
    <w:rsid w:val="00FB3502"/>
    <w:rsid w:val="00FB422B"/>
    <w:rsid w:val="00FC2A7A"/>
    <w:rsid w:val="00FC2AD9"/>
    <w:rsid w:val="00FC310B"/>
    <w:rsid w:val="00FC64D6"/>
    <w:rsid w:val="00FD5929"/>
    <w:rsid w:val="00FD64A9"/>
    <w:rsid w:val="00FE0AD5"/>
    <w:rsid w:val="00FE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CBE39"/>
  <w15:chartTrackingRefBased/>
  <w15:docId w15:val="{3357048E-606E-7946-A5C9-5BF61672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4CAA"/>
    <w:rPr>
      <w:rFonts w:ascii="Times New Roman" w:eastAsia="Times New Roman" w:hAnsi="Times New Roman" w:cs="Times New Roman"/>
      <w:lang w:eastAsia="it-IT"/>
    </w:rPr>
  </w:style>
  <w:style w:type="paragraph" w:styleId="Titolo2">
    <w:name w:val="heading 2"/>
    <w:link w:val="Titolo2Carattere"/>
    <w:uiPriority w:val="9"/>
    <w:unhideWhenUsed/>
    <w:qFormat/>
    <w:rsid w:val="0044474C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44474C"/>
    <w:rPr>
      <w:rFonts w:ascii="Times New Roman" w:eastAsia="Times New Roman" w:hAnsi="Times New Roman" w:cs="Times New Roman"/>
      <w:b/>
      <w:bCs/>
      <w:color w:val="000000"/>
      <w:sz w:val="36"/>
      <w:szCs w:val="36"/>
      <w:u w:color="000000"/>
      <w:bdr w:val="nil"/>
      <w:lang w:eastAsia="it-IT"/>
    </w:rPr>
  </w:style>
  <w:style w:type="paragraph" w:styleId="Intestazione">
    <w:name w:val="header"/>
    <w:link w:val="IntestazioneCarattere"/>
    <w:rsid w:val="0044474C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44474C"/>
    <w:rPr>
      <w:rFonts w:ascii="Calibri" w:eastAsia="Calibri" w:hAnsi="Calibri" w:cs="Calibri"/>
      <w:color w:val="000000"/>
      <w:sz w:val="22"/>
      <w:szCs w:val="22"/>
      <w:u w:color="000000"/>
      <w:bdr w:val="nil"/>
      <w:lang w:eastAsia="it-IT"/>
    </w:rPr>
  </w:style>
  <w:style w:type="character" w:customStyle="1" w:styleId="NessunoA">
    <w:name w:val="Nessuno A"/>
    <w:rsid w:val="0044474C"/>
    <w:rPr>
      <w:lang w:val="it-IT"/>
    </w:rPr>
  </w:style>
  <w:style w:type="paragraph" w:customStyle="1" w:styleId="DidefaultA">
    <w:name w:val="Di default A"/>
    <w:rsid w:val="0044474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it-IT"/>
    </w:rPr>
  </w:style>
  <w:style w:type="character" w:customStyle="1" w:styleId="Hyperlink0">
    <w:name w:val="Hyperlink.0"/>
    <w:basedOn w:val="NessunoA"/>
    <w:rsid w:val="0044474C"/>
    <w:rPr>
      <w:u w:val="single" w:color="0000FF"/>
      <w:lang w:val="en-US"/>
    </w:rPr>
  </w:style>
  <w:style w:type="paragraph" w:styleId="NormaleWeb">
    <w:name w:val="Normal (Web)"/>
    <w:basedOn w:val="Normale"/>
    <w:uiPriority w:val="99"/>
    <w:unhideWhenUsed/>
    <w:rsid w:val="0044474C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44474C"/>
    <w:rPr>
      <w:b/>
      <w:bCs/>
    </w:rPr>
  </w:style>
  <w:style w:type="character" w:customStyle="1" w:styleId="apple-converted-space">
    <w:name w:val="apple-converted-space"/>
    <w:basedOn w:val="Carpredefinitoparagrafo"/>
    <w:rsid w:val="0044474C"/>
  </w:style>
  <w:style w:type="table" w:styleId="Grigliatabella">
    <w:name w:val="Table Grid"/>
    <w:basedOn w:val="Tabellanormale"/>
    <w:uiPriority w:val="39"/>
    <w:rsid w:val="0044474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oa0">
    <w:name w:val="nessunoa"/>
    <w:basedOn w:val="Carpredefinitoparagrafo"/>
    <w:rsid w:val="0044474C"/>
  </w:style>
  <w:style w:type="paragraph" w:styleId="Pidipagina">
    <w:name w:val="footer"/>
    <w:basedOn w:val="Normale"/>
    <w:link w:val="PidipaginaCarattere"/>
    <w:uiPriority w:val="99"/>
    <w:unhideWhenUsed/>
    <w:rsid w:val="00E673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73C6"/>
    <w:rPr>
      <w:rFonts w:ascii="Times New Roman" w:eastAsia="Times New Roman" w:hAnsi="Times New Roman" w:cs="Times New Roman"/>
      <w:lang w:eastAsia="it-IT"/>
    </w:rPr>
  </w:style>
  <w:style w:type="paragraph" w:styleId="Revisione">
    <w:name w:val="Revision"/>
    <w:hidden/>
    <w:uiPriority w:val="99"/>
    <w:semiHidden/>
    <w:rsid w:val="003122D4"/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45C3A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60270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A76228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A76228"/>
  </w:style>
  <w:style w:type="character" w:customStyle="1" w:styleId="eop">
    <w:name w:val="eop"/>
    <w:basedOn w:val="Carpredefinitoparagrafo"/>
    <w:rsid w:val="00A76228"/>
  </w:style>
  <w:style w:type="paragraph" w:styleId="Paragrafoelenco">
    <w:name w:val="List Paragraph"/>
    <w:basedOn w:val="Normale"/>
    <w:uiPriority w:val="34"/>
    <w:qFormat/>
    <w:rsid w:val="001370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85307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5307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5307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5307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53075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5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8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4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ufficiostampa@cdcraee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dcraee.it/rapporti-raee/rapporto-annuale-2024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cdcraee.i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544E5842E0674D963BAFDA56E055CA" ma:contentTypeVersion="16" ma:contentTypeDescription="Create a new document." ma:contentTypeScope="" ma:versionID="1a24494c35d21ff344f90c5479483973">
  <xsd:schema xmlns:xsd="http://www.w3.org/2001/XMLSchema" xmlns:xs="http://www.w3.org/2001/XMLSchema" xmlns:p="http://schemas.microsoft.com/office/2006/metadata/properties" xmlns:ns2="57524266-74ba-48e2-ab0c-fdc99156b129" xmlns:ns3="5cd648e5-a20f-402f-8cdf-4bed1626a313" targetNamespace="http://schemas.microsoft.com/office/2006/metadata/properties" ma:root="true" ma:fieldsID="5c7b56721c7d26d0839cc8956993e128" ns2:_="" ns3:_="">
    <xsd:import namespace="57524266-74ba-48e2-ab0c-fdc99156b129"/>
    <xsd:import namespace="5cd648e5-a20f-402f-8cdf-4bed1626a3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24266-74ba-48e2-ab0c-fdc99156b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2c596b-a525-421e-9fdb-2a03ad3753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648e5-a20f-402f-8cdf-4bed1626a31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1e473-e029-491b-9584-2a95ec8f8557}" ma:internalName="TaxCatchAll" ma:showField="CatchAllData" ma:web="5cd648e5-a20f-402f-8cdf-4bed1626a3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0C009B-2640-4183-ABE6-344D4B9755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E885A0-5D15-4A7D-B813-C521D4B47C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261D9D-7216-474D-A3CB-DD8CCEC48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24266-74ba-48e2-ab0c-fdc99156b129"/>
    <ds:schemaRef ds:uri="5cd648e5-a20f-402f-8cdf-4bed1626a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1858</Words>
  <Characters>10593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elena.scandroglio@outlook.it</dc:creator>
  <cp:keywords/>
  <dc:description/>
  <cp:lastModifiedBy>Elena Scandroglio</cp:lastModifiedBy>
  <cp:revision>90</cp:revision>
  <cp:lastPrinted>2023-02-23T22:55:00Z</cp:lastPrinted>
  <dcterms:created xsi:type="dcterms:W3CDTF">2024-03-05T09:13:00Z</dcterms:created>
  <dcterms:modified xsi:type="dcterms:W3CDTF">2025-03-20T16:13:00Z</dcterms:modified>
</cp:coreProperties>
</file>