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F769C" w14:textId="75868F33" w:rsidR="000D4A51" w:rsidRDefault="00C90E60" w:rsidP="000D4A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center"/>
        <w:outlineLvl w:val="0"/>
        <w:rPr>
          <w:rFonts w:ascii="Arial" w:hAnsi="Arial" w:cs="Arial"/>
          <w:b/>
          <w:bCs/>
          <w:sz w:val="32"/>
          <w:szCs w:val="32"/>
          <w:u w:color="3B3838"/>
          <w:shd w:val="clear" w:color="auto" w:fill="FFFFFF"/>
        </w:rPr>
      </w:pPr>
      <w:r w:rsidRPr="000D4A51">
        <w:rPr>
          <w:rFonts w:ascii="Arial" w:hAnsi="Arial" w:cs="Arial"/>
          <w:b/>
          <w:bCs/>
          <w:sz w:val="32"/>
          <w:szCs w:val="32"/>
          <w:u w:color="3B3838"/>
          <w:shd w:val="clear" w:color="auto" w:fill="FFFFFF"/>
        </w:rPr>
        <w:t xml:space="preserve">Raccolta RAEE: 2025 in crescita </w:t>
      </w:r>
      <w:r w:rsidR="00926DA1" w:rsidRPr="000D4A51">
        <w:rPr>
          <w:rFonts w:ascii="Arial" w:hAnsi="Arial" w:cs="Arial"/>
          <w:b/>
          <w:bCs/>
          <w:sz w:val="32"/>
          <w:szCs w:val="32"/>
          <w:u w:color="3B3838"/>
          <w:shd w:val="clear" w:color="auto" w:fill="FFFFFF"/>
        </w:rPr>
        <w:t>del</w:t>
      </w:r>
      <w:r w:rsidR="00A13C4D">
        <w:rPr>
          <w:rFonts w:ascii="Arial" w:hAnsi="Arial" w:cs="Arial"/>
          <w:b/>
          <w:bCs/>
          <w:sz w:val="32"/>
          <w:szCs w:val="32"/>
          <w:u w:color="3B3838"/>
          <w:shd w:val="clear" w:color="auto" w:fill="FFFFFF"/>
        </w:rPr>
        <w:t xml:space="preserve"> </w:t>
      </w:r>
      <w:r w:rsidR="001D1A6A">
        <w:rPr>
          <w:rFonts w:ascii="Arial" w:hAnsi="Arial" w:cs="Arial"/>
          <w:b/>
          <w:bCs/>
          <w:sz w:val="32"/>
          <w:szCs w:val="32"/>
          <w:u w:color="3B3838"/>
          <w:shd w:val="clear" w:color="auto" w:fill="FFFFFF"/>
        </w:rPr>
        <w:t>2</w:t>
      </w:r>
      <w:r w:rsidR="00926DA1" w:rsidRPr="000D4A51">
        <w:rPr>
          <w:rFonts w:ascii="Arial" w:hAnsi="Arial" w:cs="Arial"/>
          <w:b/>
          <w:bCs/>
          <w:sz w:val="32"/>
          <w:szCs w:val="32"/>
          <w:u w:color="3B3838"/>
          <w:shd w:val="clear" w:color="auto" w:fill="FFFFFF"/>
        </w:rPr>
        <w:t>,</w:t>
      </w:r>
      <w:r w:rsidR="001D1A6A">
        <w:rPr>
          <w:rFonts w:ascii="Arial" w:hAnsi="Arial" w:cs="Arial"/>
          <w:b/>
          <w:bCs/>
          <w:sz w:val="32"/>
          <w:szCs w:val="32"/>
          <w:u w:color="3B3838"/>
          <w:shd w:val="clear" w:color="auto" w:fill="FFFFFF"/>
        </w:rPr>
        <w:t>4</w:t>
      </w:r>
      <w:r w:rsidR="00926DA1" w:rsidRPr="000D4A51">
        <w:rPr>
          <w:rFonts w:ascii="Arial" w:hAnsi="Arial" w:cs="Arial"/>
          <w:b/>
          <w:bCs/>
          <w:sz w:val="32"/>
          <w:szCs w:val="32"/>
          <w:u w:color="3B3838"/>
          <w:shd w:val="clear" w:color="auto" w:fill="FFFFFF"/>
        </w:rPr>
        <w:t>%</w:t>
      </w:r>
      <w:r w:rsidR="007C7352">
        <w:rPr>
          <w:rFonts w:ascii="Arial" w:hAnsi="Arial" w:cs="Arial"/>
          <w:b/>
          <w:bCs/>
          <w:sz w:val="32"/>
          <w:szCs w:val="32"/>
          <w:u w:color="3B3838"/>
          <w:shd w:val="clear" w:color="auto" w:fill="FFFFFF"/>
        </w:rPr>
        <w:t>,</w:t>
      </w:r>
      <w:r w:rsidR="00926DA1" w:rsidRPr="000D4A51">
        <w:rPr>
          <w:rFonts w:ascii="Arial" w:hAnsi="Arial" w:cs="Arial"/>
          <w:b/>
          <w:bCs/>
          <w:sz w:val="32"/>
          <w:szCs w:val="32"/>
          <w:u w:color="3B3838"/>
          <w:shd w:val="clear" w:color="auto" w:fill="FFFFFF"/>
        </w:rPr>
        <w:t xml:space="preserve"> </w:t>
      </w:r>
      <w:r w:rsidR="001D1A6A">
        <w:rPr>
          <w:rFonts w:ascii="Arial" w:hAnsi="Arial" w:cs="Arial"/>
          <w:b/>
          <w:bCs/>
          <w:sz w:val="32"/>
          <w:szCs w:val="32"/>
          <w:u w:color="3B3838"/>
          <w:shd w:val="clear" w:color="auto" w:fill="FFFFFF"/>
        </w:rPr>
        <w:t>un piccolo passo</w:t>
      </w:r>
      <w:r w:rsidRPr="000D4A51">
        <w:rPr>
          <w:rFonts w:ascii="Arial" w:hAnsi="Arial" w:cs="Arial"/>
          <w:b/>
          <w:bCs/>
          <w:sz w:val="32"/>
          <w:szCs w:val="32"/>
          <w:u w:color="3B3838"/>
          <w:shd w:val="clear" w:color="auto" w:fill="FFFFFF"/>
        </w:rPr>
        <w:t xml:space="preserve"> </w:t>
      </w:r>
      <w:r w:rsidR="001D1A6A">
        <w:rPr>
          <w:rFonts w:ascii="Arial" w:hAnsi="Arial" w:cs="Arial"/>
          <w:b/>
          <w:bCs/>
          <w:sz w:val="32"/>
          <w:szCs w:val="32"/>
          <w:u w:color="3B3838"/>
          <w:shd w:val="clear" w:color="auto" w:fill="FFFFFF"/>
        </w:rPr>
        <w:t>verso</w:t>
      </w:r>
      <w:r w:rsidRPr="000D4A51">
        <w:rPr>
          <w:rFonts w:ascii="Arial" w:hAnsi="Arial" w:cs="Arial"/>
          <w:b/>
          <w:bCs/>
          <w:sz w:val="32"/>
          <w:szCs w:val="32"/>
          <w:u w:color="3B3838"/>
          <w:shd w:val="clear" w:color="auto" w:fill="FFFFFF"/>
        </w:rPr>
        <w:t xml:space="preserve"> </w:t>
      </w:r>
      <w:r w:rsidR="001D1A6A">
        <w:rPr>
          <w:rFonts w:ascii="Arial" w:hAnsi="Arial" w:cs="Arial"/>
          <w:b/>
          <w:bCs/>
          <w:sz w:val="32"/>
          <w:szCs w:val="32"/>
          <w:u w:color="3B3838"/>
          <w:shd w:val="clear" w:color="auto" w:fill="FFFFFF"/>
        </w:rPr>
        <w:t xml:space="preserve">gli </w:t>
      </w:r>
      <w:r w:rsidRPr="000D4A51">
        <w:rPr>
          <w:rFonts w:ascii="Arial" w:hAnsi="Arial" w:cs="Arial"/>
          <w:b/>
          <w:bCs/>
          <w:sz w:val="32"/>
          <w:szCs w:val="32"/>
          <w:u w:color="3B3838"/>
          <w:shd w:val="clear" w:color="auto" w:fill="FFFFFF"/>
        </w:rPr>
        <w:t>obiettivi europei</w:t>
      </w:r>
    </w:p>
    <w:p w14:paraId="60686735" w14:textId="3639D36C" w:rsidR="00F1547E" w:rsidRPr="00437A57" w:rsidRDefault="00EE6FF1" w:rsidP="00F154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outlineLvl w:val="0"/>
        <w:rPr>
          <w:rStyle w:val="NessunoA"/>
          <w:rFonts w:ascii="Arial" w:hAnsi="Arial" w:cs="Arial"/>
          <w:color w:val="EE0000"/>
          <w:u w:color="3B3838"/>
          <w:shd w:val="clear" w:color="auto" w:fill="FFFFFF"/>
        </w:rPr>
      </w:pPr>
      <w:r w:rsidRPr="00EE6FF1">
        <w:rPr>
          <w:rFonts w:ascii="Arial" w:hAnsi="Arial" w:cs="Arial"/>
          <w:u w:color="3B3838"/>
          <w:shd w:val="clear" w:color="auto" w:fill="FFFFFF"/>
        </w:rPr>
        <w:br/>
      </w:r>
      <w:r w:rsidR="000D4A51" w:rsidRPr="00F1547E">
        <w:rPr>
          <w:rFonts w:ascii="Arial" w:hAnsi="Arial" w:cs="Arial"/>
          <w:i/>
          <w:iCs/>
          <w:u w:color="3B3838"/>
          <w:shd w:val="clear" w:color="auto" w:fill="FFFFFF"/>
        </w:rPr>
        <w:t xml:space="preserve">Lo scorso anno </w:t>
      </w:r>
      <w:r w:rsidR="001D1A6A">
        <w:rPr>
          <w:rFonts w:ascii="Arial" w:hAnsi="Arial" w:cs="Arial"/>
          <w:i/>
          <w:iCs/>
          <w:u w:color="3B3838"/>
          <w:shd w:val="clear" w:color="auto" w:fill="FFFFFF"/>
        </w:rPr>
        <w:t xml:space="preserve">in Italia </w:t>
      </w:r>
      <w:r w:rsidR="000D4A51" w:rsidRPr="00F1547E">
        <w:rPr>
          <w:rFonts w:ascii="Arial" w:hAnsi="Arial" w:cs="Arial"/>
          <w:i/>
          <w:iCs/>
          <w:u w:color="3B3838"/>
          <w:shd w:val="clear" w:color="auto" w:fill="FFFFFF"/>
        </w:rPr>
        <w:t xml:space="preserve">sono state </w:t>
      </w:r>
      <w:r w:rsidR="001D1A6A">
        <w:rPr>
          <w:rFonts w:ascii="Arial" w:hAnsi="Arial" w:cs="Arial"/>
          <w:i/>
          <w:iCs/>
          <w:u w:color="3B3838"/>
          <w:shd w:val="clear" w:color="auto" w:fill="FFFFFF"/>
        </w:rPr>
        <w:t>raccolte</w:t>
      </w:r>
      <w:r w:rsidRPr="00F1547E">
        <w:rPr>
          <w:rFonts w:ascii="Arial" w:hAnsi="Arial" w:cs="Arial"/>
          <w:i/>
          <w:iCs/>
          <w:u w:color="3B3838"/>
          <w:shd w:val="clear" w:color="auto" w:fill="FFFFFF"/>
        </w:rPr>
        <w:t xml:space="preserve"> 36</w:t>
      </w:r>
      <w:r w:rsidR="00FA355B">
        <w:rPr>
          <w:rFonts w:ascii="Arial" w:hAnsi="Arial" w:cs="Arial"/>
          <w:i/>
          <w:iCs/>
          <w:u w:color="3B3838"/>
          <w:shd w:val="clear" w:color="auto" w:fill="FFFFFF"/>
        </w:rPr>
        <w:t>6</w:t>
      </w:r>
      <w:r w:rsidRPr="00F1547E">
        <w:rPr>
          <w:rFonts w:ascii="Arial" w:hAnsi="Arial" w:cs="Arial"/>
          <w:i/>
          <w:iCs/>
          <w:u w:color="3B3838"/>
          <w:shd w:val="clear" w:color="auto" w:fill="FFFFFF"/>
        </w:rPr>
        <w:t>.</w:t>
      </w:r>
      <w:r w:rsidR="00FA355B">
        <w:rPr>
          <w:rFonts w:ascii="Arial" w:hAnsi="Arial" w:cs="Arial"/>
          <w:i/>
          <w:iCs/>
          <w:u w:color="3B3838"/>
          <w:shd w:val="clear" w:color="auto" w:fill="FFFFFF"/>
        </w:rPr>
        <w:t>89</w:t>
      </w:r>
      <w:r w:rsidRPr="00F1547E">
        <w:rPr>
          <w:rFonts w:ascii="Arial" w:hAnsi="Arial" w:cs="Arial"/>
          <w:i/>
          <w:iCs/>
          <w:u w:color="3B3838"/>
          <w:shd w:val="clear" w:color="auto" w:fill="FFFFFF"/>
        </w:rPr>
        <w:t xml:space="preserve">1 tonnellate di RAEE, </w:t>
      </w:r>
      <w:r w:rsidR="001D1A6A">
        <w:rPr>
          <w:rFonts w:ascii="Arial" w:hAnsi="Arial" w:cs="Arial"/>
          <w:i/>
          <w:iCs/>
          <w:u w:color="3B3838"/>
          <w:shd w:val="clear" w:color="auto" w:fill="FFFFFF"/>
        </w:rPr>
        <w:t xml:space="preserve">per un </w:t>
      </w:r>
      <w:r w:rsidR="006873C3">
        <w:rPr>
          <w:rFonts w:ascii="Arial" w:hAnsi="Arial" w:cs="Arial"/>
          <w:i/>
          <w:iCs/>
          <w:u w:color="3B3838"/>
          <w:shd w:val="clear" w:color="auto" w:fill="FFFFFF"/>
        </w:rPr>
        <w:t>risultato</w:t>
      </w:r>
      <w:r w:rsidR="001D1A6A">
        <w:rPr>
          <w:rFonts w:ascii="Arial" w:hAnsi="Arial" w:cs="Arial"/>
          <w:i/>
          <w:iCs/>
          <w:u w:color="3B3838"/>
          <w:shd w:val="clear" w:color="auto" w:fill="FFFFFF"/>
        </w:rPr>
        <w:t xml:space="preserve"> pro</w:t>
      </w:r>
      <w:r w:rsidR="00FA355B">
        <w:rPr>
          <w:rFonts w:ascii="Arial" w:hAnsi="Arial" w:cs="Arial"/>
          <w:i/>
          <w:iCs/>
          <w:u w:color="3B3838"/>
          <w:shd w:val="clear" w:color="auto" w:fill="FFFFFF"/>
        </w:rPr>
        <w:t xml:space="preserve"> </w:t>
      </w:r>
      <w:r w:rsidR="001D1A6A">
        <w:rPr>
          <w:rFonts w:ascii="Arial" w:hAnsi="Arial" w:cs="Arial"/>
          <w:i/>
          <w:iCs/>
          <w:u w:color="3B3838"/>
          <w:shd w:val="clear" w:color="auto" w:fill="FFFFFF"/>
        </w:rPr>
        <w:t xml:space="preserve">capite di </w:t>
      </w:r>
      <w:r w:rsidRPr="00F1547E">
        <w:rPr>
          <w:rFonts w:ascii="Arial" w:hAnsi="Arial" w:cs="Arial"/>
          <w:i/>
          <w:iCs/>
          <w:u w:color="3B3838"/>
          <w:shd w:val="clear" w:color="auto" w:fill="FFFFFF"/>
        </w:rPr>
        <w:t>6,</w:t>
      </w:r>
      <w:r w:rsidR="00FA355B">
        <w:rPr>
          <w:rFonts w:ascii="Arial" w:hAnsi="Arial" w:cs="Arial"/>
          <w:i/>
          <w:iCs/>
          <w:u w:color="3B3838"/>
          <w:shd w:val="clear" w:color="auto" w:fill="FFFFFF"/>
        </w:rPr>
        <w:t>22</w:t>
      </w:r>
      <w:r w:rsidRPr="00F1547E">
        <w:rPr>
          <w:rFonts w:ascii="Arial" w:hAnsi="Arial" w:cs="Arial"/>
          <w:i/>
          <w:iCs/>
          <w:u w:color="3B3838"/>
          <w:shd w:val="clear" w:color="auto" w:fill="FFFFFF"/>
        </w:rPr>
        <w:t xml:space="preserve"> kg</w:t>
      </w:r>
      <w:r w:rsidR="00FA355B">
        <w:rPr>
          <w:rFonts w:ascii="Arial" w:hAnsi="Arial" w:cs="Arial"/>
          <w:i/>
          <w:iCs/>
          <w:u w:color="3B3838"/>
          <w:shd w:val="clear" w:color="auto" w:fill="FFFFFF"/>
        </w:rPr>
        <w:t>/ab</w:t>
      </w:r>
      <w:r w:rsidRPr="00F1547E">
        <w:rPr>
          <w:rFonts w:ascii="Arial" w:hAnsi="Arial" w:cs="Arial"/>
          <w:i/>
          <w:iCs/>
          <w:u w:color="3B3838"/>
          <w:shd w:val="clear" w:color="auto" w:fill="FFFFFF"/>
        </w:rPr>
        <w:t xml:space="preserve">. </w:t>
      </w:r>
      <w:r w:rsidR="00FA355B" w:rsidRPr="00FA355B">
        <w:rPr>
          <w:rFonts w:ascii="Arial" w:hAnsi="Arial" w:cs="Arial"/>
          <w:i/>
          <w:iCs/>
          <w:u w:color="3B3838"/>
          <w:shd w:val="clear" w:color="auto" w:fill="FFFFFF"/>
        </w:rPr>
        <w:t xml:space="preserve">Restano significative differenze territoriali che </w:t>
      </w:r>
      <w:r w:rsidR="00FA355B">
        <w:rPr>
          <w:rFonts w:ascii="Arial" w:hAnsi="Arial" w:cs="Arial"/>
          <w:i/>
          <w:iCs/>
          <w:u w:color="3B3838"/>
          <w:shd w:val="clear" w:color="auto" w:fill="FFFFFF"/>
        </w:rPr>
        <w:t>rallentano</w:t>
      </w:r>
      <w:r w:rsidR="00FA355B" w:rsidRPr="00FA355B">
        <w:rPr>
          <w:rFonts w:ascii="Arial" w:hAnsi="Arial" w:cs="Arial"/>
          <w:i/>
          <w:iCs/>
          <w:u w:color="3B3838"/>
          <w:shd w:val="clear" w:color="auto" w:fill="FFFFFF"/>
        </w:rPr>
        <w:t xml:space="preserve"> il percorso verso i target </w:t>
      </w:r>
      <w:r w:rsidR="00F1547E" w:rsidRPr="00F1547E">
        <w:rPr>
          <w:rFonts w:ascii="Arial" w:hAnsi="Arial" w:cs="Arial"/>
          <w:i/>
          <w:iCs/>
          <w:u w:color="3B3838"/>
          <w:shd w:val="clear" w:color="auto" w:fill="FFFFFF"/>
        </w:rPr>
        <w:t>stabiliti dall’UE.</w:t>
      </w:r>
      <w:r w:rsidR="00FA355B">
        <w:rPr>
          <w:rFonts w:ascii="Arial" w:hAnsi="Arial" w:cs="Arial"/>
          <w:i/>
          <w:iCs/>
          <w:u w:color="3B3838"/>
          <w:shd w:val="clear" w:color="auto" w:fill="FFFFFF"/>
        </w:rPr>
        <w:t xml:space="preserve"> </w:t>
      </w:r>
      <w:r w:rsidR="00F1547E" w:rsidRPr="00F1547E">
        <w:rPr>
          <w:rFonts w:ascii="Arial" w:hAnsi="Arial" w:cs="Arial"/>
          <w:i/>
          <w:iCs/>
          <w:u w:color="3B3838"/>
          <w:shd w:val="clear" w:color="auto" w:fill="FFFFFF"/>
        </w:rPr>
        <w:t>Più di tre RAEE su quattro vengono raccolti nei centri di raccolta comunali</w:t>
      </w:r>
      <w:r w:rsidR="00F1547E" w:rsidRPr="00F11FF6">
        <w:rPr>
          <w:rFonts w:ascii="Arial" w:hAnsi="Arial" w:cs="Arial"/>
          <w:i/>
          <w:iCs/>
          <w:u w:color="3B3838"/>
          <w:shd w:val="clear" w:color="auto" w:fill="FFFFFF"/>
        </w:rPr>
        <w:t>.</w:t>
      </w:r>
      <w:r w:rsidR="00FA355B" w:rsidRPr="00F11FF6">
        <w:rPr>
          <w:rFonts w:ascii="Arial" w:hAnsi="Arial" w:cs="Arial"/>
          <w:i/>
          <w:iCs/>
          <w:u w:color="3B3838"/>
          <w:shd w:val="clear" w:color="auto" w:fill="FFFFFF"/>
        </w:rPr>
        <w:t xml:space="preserve"> </w:t>
      </w:r>
      <w:r w:rsidR="00437A57" w:rsidRPr="00F11FF6">
        <w:rPr>
          <w:rFonts w:ascii="Arial" w:hAnsi="Arial" w:cs="Arial"/>
          <w:i/>
          <w:iCs/>
          <w:u w:color="3B3838"/>
          <w:shd w:val="clear" w:color="auto" w:fill="FFFFFF"/>
        </w:rPr>
        <w:t xml:space="preserve">Superano i 30 milioni di euro i premi di efficienza </w:t>
      </w:r>
      <w:r w:rsidR="00F41382">
        <w:rPr>
          <w:rFonts w:ascii="Arial" w:hAnsi="Arial" w:cs="Arial"/>
          <w:i/>
          <w:iCs/>
          <w:u w:color="3B3838"/>
          <w:shd w:val="clear" w:color="auto" w:fill="FFFFFF"/>
        </w:rPr>
        <w:t>incassati</w:t>
      </w:r>
      <w:r w:rsidR="00C5221E">
        <w:rPr>
          <w:rFonts w:ascii="Arial" w:hAnsi="Arial" w:cs="Arial"/>
          <w:i/>
          <w:iCs/>
          <w:u w:color="3B3838"/>
          <w:shd w:val="clear" w:color="auto" w:fill="FFFFFF"/>
        </w:rPr>
        <w:t xml:space="preserve"> dai gestori della raccolta</w:t>
      </w:r>
      <w:r w:rsidR="00437A57" w:rsidRPr="00F11FF6">
        <w:rPr>
          <w:rFonts w:ascii="Arial" w:hAnsi="Arial" w:cs="Arial"/>
          <w:i/>
          <w:iCs/>
          <w:u w:color="3B3838"/>
          <w:shd w:val="clear" w:color="auto" w:fill="FFFFFF"/>
        </w:rPr>
        <w:t>.</w:t>
      </w:r>
    </w:p>
    <w:p w14:paraId="6B867DCD" w14:textId="77777777" w:rsidR="0078419D" w:rsidRDefault="0078419D" w:rsidP="00EE79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outlineLvl w:val="0"/>
        <w:rPr>
          <w:rFonts w:ascii="Arial" w:hAnsi="Arial" w:cs="Arial"/>
        </w:rPr>
      </w:pPr>
    </w:p>
    <w:p w14:paraId="78D1F353" w14:textId="77777777" w:rsidR="00D92B2E" w:rsidRDefault="00D92B2E" w:rsidP="00982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outlineLvl w:val="0"/>
        <w:rPr>
          <w:rFonts w:ascii="Arial" w:hAnsi="Arial" w:cs="Arial"/>
          <w:b/>
          <w:bCs/>
        </w:rPr>
      </w:pPr>
    </w:p>
    <w:p w14:paraId="187DBE41" w14:textId="77777777" w:rsidR="007654C8" w:rsidRDefault="00982200" w:rsidP="00982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outlineLvl w:val="0"/>
        <w:rPr>
          <w:rFonts w:ascii="Arial" w:hAnsi="Arial" w:cs="Arial"/>
          <w:b/>
          <w:bCs/>
        </w:rPr>
      </w:pPr>
      <w:r w:rsidRPr="00982200">
        <w:rPr>
          <w:rFonts w:ascii="Arial" w:hAnsi="Arial" w:cs="Arial"/>
          <w:b/>
          <w:bCs/>
        </w:rPr>
        <w:t>Milano, 25 marzo 2026</w:t>
      </w:r>
      <w:r w:rsidRPr="00982200">
        <w:rPr>
          <w:rFonts w:ascii="Arial" w:hAnsi="Arial" w:cs="Arial"/>
        </w:rPr>
        <w:t xml:space="preserve"> – Nel 2025 la raccolta dei RAEE in Italia torna a crescere. Secondo il </w:t>
      </w:r>
      <w:r w:rsidRPr="007654C8">
        <w:rPr>
          <w:rFonts w:ascii="Arial" w:hAnsi="Arial" w:cs="Arial"/>
          <w:b/>
          <w:bCs/>
        </w:rPr>
        <w:t>Rapporto Annuale del Centro di Coordinamento RAEE</w:t>
      </w:r>
      <w:r w:rsidRPr="00982200">
        <w:rPr>
          <w:rFonts w:ascii="Arial" w:hAnsi="Arial" w:cs="Arial"/>
        </w:rPr>
        <w:t xml:space="preserve">, lo scorso anno sono state </w:t>
      </w:r>
      <w:r w:rsidR="00534260">
        <w:rPr>
          <w:rFonts w:ascii="Arial" w:hAnsi="Arial" w:cs="Arial"/>
        </w:rPr>
        <w:t xml:space="preserve">raccolte e </w:t>
      </w:r>
      <w:r w:rsidRPr="00982200">
        <w:rPr>
          <w:rFonts w:ascii="Arial" w:hAnsi="Arial" w:cs="Arial"/>
        </w:rPr>
        <w:t>avviate a</w:t>
      </w:r>
      <w:r w:rsidR="00534260">
        <w:rPr>
          <w:rFonts w:ascii="Arial" w:hAnsi="Arial" w:cs="Arial"/>
        </w:rPr>
        <w:t xml:space="preserve">l </w:t>
      </w:r>
      <w:r w:rsidRPr="00982200">
        <w:rPr>
          <w:rFonts w:ascii="Arial" w:hAnsi="Arial" w:cs="Arial"/>
        </w:rPr>
        <w:t xml:space="preserve">corretto </w:t>
      </w:r>
      <w:r w:rsidR="00534260">
        <w:rPr>
          <w:rFonts w:ascii="Arial" w:hAnsi="Arial" w:cs="Arial"/>
        </w:rPr>
        <w:t>trattamento</w:t>
      </w:r>
      <w:r w:rsidRPr="00982200">
        <w:rPr>
          <w:rFonts w:ascii="Arial" w:hAnsi="Arial" w:cs="Arial"/>
        </w:rPr>
        <w:t xml:space="preserve"> </w:t>
      </w:r>
      <w:r w:rsidRPr="00982200">
        <w:rPr>
          <w:rFonts w:ascii="Arial" w:hAnsi="Arial" w:cs="Arial"/>
          <w:b/>
          <w:bCs/>
        </w:rPr>
        <w:t>3</w:t>
      </w:r>
      <w:r w:rsidR="004B0D0B">
        <w:rPr>
          <w:rFonts w:ascii="Arial" w:hAnsi="Arial" w:cs="Arial"/>
          <w:b/>
          <w:bCs/>
        </w:rPr>
        <w:t>66</w:t>
      </w:r>
      <w:r w:rsidRPr="00982200">
        <w:rPr>
          <w:rFonts w:ascii="Arial" w:hAnsi="Arial" w:cs="Arial"/>
          <w:b/>
          <w:bCs/>
        </w:rPr>
        <w:t>.</w:t>
      </w:r>
      <w:r w:rsidR="004B0D0B">
        <w:rPr>
          <w:rFonts w:ascii="Arial" w:hAnsi="Arial" w:cs="Arial"/>
          <w:b/>
          <w:bCs/>
        </w:rPr>
        <w:t>891</w:t>
      </w:r>
      <w:r w:rsidRPr="00982200">
        <w:rPr>
          <w:rFonts w:ascii="Arial" w:hAnsi="Arial" w:cs="Arial"/>
          <w:b/>
          <w:bCs/>
        </w:rPr>
        <w:t xml:space="preserve"> tonnellate di RAEE domestici</w:t>
      </w:r>
      <w:r w:rsidRPr="00982200">
        <w:rPr>
          <w:rFonts w:ascii="Arial" w:hAnsi="Arial" w:cs="Arial"/>
        </w:rPr>
        <w:t>, con un aumento del</w:t>
      </w:r>
      <w:r w:rsidR="00534260">
        <w:rPr>
          <w:rFonts w:ascii="Arial" w:hAnsi="Arial" w:cs="Arial"/>
        </w:rPr>
        <w:t xml:space="preserve"> </w:t>
      </w:r>
      <w:r w:rsidR="00534260" w:rsidRPr="00534260">
        <w:rPr>
          <w:rFonts w:ascii="Arial" w:hAnsi="Arial" w:cs="Arial"/>
          <w:b/>
          <w:bCs/>
        </w:rPr>
        <w:t>2</w:t>
      </w:r>
      <w:r w:rsidRPr="00982200">
        <w:rPr>
          <w:rFonts w:ascii="Arial" w:hAnsi="Arial" w:cs="Arial"/>
          <w:b/>
          <w:bCs/>
        </w:rPr>
        <w:t>,</w:t>
      </w:r>
      <w:r w:rsidR="00534260">
        <w:rPr>
          <w:rFonts w:ascii="Arial" w:hAnsi="Arial" w:cs="Arial"/>
          <w:b/>
          <w:bCs/>
        </w:rPr>
        <w:t>4</w:t>
      </w:r>
      <w:r w:rsidRPr="00982200">
        <w:rPr>
          <w:rFonts w:ascii="Arial" w:hAnsi="Arial" w:cs="Arial"/>
          <w:b/>
          <w:bCs/>
        </w:rPr>
        <w:t>%</w:t>
      </w:r>
      <w:r w:rsidRPr="00982200">
        <w:rPr>
          <w:rFonts w:ascii="Arial" w:hAnsi="Arial" w:cs="Arial"/>
        </w:rPr>
        <w:t xml:space="preserve"> rispetto al 2024. La crescita dei volumi si riflette sulla raccolta pro capite, che raggiunge </w:t>
      </w:r>
      <w:r w:rsidRPr="00982200">
        <w:rPr>
          <w:rFonts w:ascii="Arial" w:hAnsi="Arial" w:cs="Arial"/>
          <w:b/>
          <w:bCs/>
        </w:rPr>
        <w:t>6,</w:t>
      </w:r>
      <w:r w:rsidR="004B0D0B">
        <w:rPr>
          <w:rFonts w:ascii="Arial" w:hAnsi="Arial" w:cs="Arial"/>
          <w:b/>
          <w:bCs/>
        </w:rPr>
        <w:t>22</w:t>
      </w:r>
      <w:r w:rsidRPr="00982200">
        <w:rPr>
          <w:rFonts w:ascii="Arial" w:hAnsi="Arial" w:cs="Arial"/>
          <w:b/>
          <w:bCs/>
        </w:rPr>
        <w:t xml:space="preserve"> kg</w:t>
      </w:r>
      <w:r w:rsidR="008E3D3B">
        <w:rPr>
          <w:rFonts w:ascii="Arial" w:hAnsi="Arial" w:cs="Arial"/>
          <w:b/>
          <w:bCs/>
        </w:rPr>
        <w:t>/ab.</w:t>
      </w:r>
      <w:r w:rsidR="007654C8">
        <w:rPr>
          <w:rFonts w:ascii="Arial" w:hAnsi="Arial" w:cs="Arial"/>
          <w:b/>
          <w:bCs/>
        </w:rPr>
        <w:t xml:space="preserve"> </w:t>
      </w:r>
    </w:p>
    <w:p w14:paraId="7516FAF6" w14:textId="77777777" w:rsidR="00102B2D" w:rsidRDefault="008E3D3B" w:rsidP="00982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outlineLvl w:val="0"/>
        <w:rPr>
          <w:rFonts w:ascii="Arial" w:hAnsi="Arial" w:cs="Arial"/>
        </w:rPr>
      </w:pPr>
      <w:r>
        <w:rPr>
          <w:rFonts w:ascii="Arial" w:hAnsi="Arial" w:cs="Arial"/>
        </w:rPr>
        <w:t>Questi dati</w:t>
      </w:r>
      <w:r w:rsidR="00982200" w:rsidRPr="00982200">
        <w:rPr>
          <w:rFonts w:ascii="Arial" w:hAnsi="Arial" w:cs="Arial"/>
        </w:rPr>
        <w:t xml:space="preserve"> offr</w:t>
      </w:r>
      <w:r>
        <w:rPr>
          <w:rFonts w:ascii="Arial" w:hAnsi="Arial" w:cs="Arial"/>
        </w:rPr>
        <w:t>ono</w:t>
      </w:r>
      <w:r w:rsidR="00982200" w:rsidRPr="00982200">
        <w:rPr>
          <w:rFonts w:ascii="Arial" w:hAnsi="Arial" w:cs="Arial"/>
        </w:rPr>
        <w:t xml:space="preserve"> una fotografia completa dell’andamento nazionale</w:t>
      </w:r>
      <w:r w:rsidR="00534260">
        <w:rPr>
          <w:rFonts w:ascii="Arial" w:hAnsi="Arial" w:cs="Arial"/>
        </w:rPr>
        <w:t xml:space="preserve"> e</w:t>
      </w:r>
      <w:r w:rsidR="00982200" w:rsidRPr="00982200">
        <w:rPr>
          <w:rFonts w:ascii="Arial" w:hAnsi="Arial" w:cs="Arial"/>
        </w:rPr>
        <w:t xml:space="preserve"> comprend</w:t>
      </w:r>
      <w:r>
        <w:rPr>
          <w:rFonts w:ascii="Arial" w:hAnsi="Arial" w:cs="Arial"/>
        </w:rPr>
        <w:t>ono</w:t>
      </w:r>
      <w:r w:rsidR="00982200" w:rsidRPr="00982200">
        <w:rPr>
          <w:rFonts w:ascii="Arial" w:hAnsi="Arial" w:cs="Arial"/>
        </w:rPr>
        <w:t xml:space="preserve"> sia i quantitativi gestiti dai Sistemi Collettivi consorziati sia la raccolta diretta effettuata dalle aziende </w:t>
      </w:r>
      <w:r w:rsidR="00982200">
        <w:rPr>
          <w:rFonts w:ascii="Arial" w:hAnsi="Arial" w:cs="Arial"/>
        </w:rPr>
        <w:t xml:space="preserve">della raccolta </w:t>
      </w:r>
      <w:r w:rsidR="00982200" w:rsidRPr="00982200">
        <w:rPr>
          <w:rFonts w:ascii="Arial" w:hAnsi="Arial" w:cs="Arial"/>
        </w:rPr>
        <w:t>nell’ambito di accordi con il CdC RAEE e gestita all’interno del sistema ufficiale.</w:t>
      </w:r>
    </w:p>
    <w:p w14:paraId="02B974CC" w14:textId="6370AFD9" w:rsidR="00982200" w:rsidRDefault="00982200" w:rsidP="00982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outlineLvl w:val="0"/>
        <w:rPr>
          <w:rFonts w:ascii="Arial" w:hAnsi="Arial" w:cs="Arial"/>
        </w:rPr>
      </w:pPr>
      <w:r w:rsidRPr="00982200">
        <w:rPr>
          <w:rFonts w:ascii="Arial" w:hAnsi="Arial" w:cs="Arial"/>
        </w:rPr>
        <w:t xml:space="preserve"> </w:t>
      </w:r>
    </w:p>
    <w:p w14:paraId="179E9117" w14:textId="70928F5F" w:rsidR="00982200" w:rsidRPr="00F11FF6" w:rsidRDefault="00982200" w:rsidP="00982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outlineLvl w:val="0"/>
        <w:rPr>
          <w:rFonts w:ascii="Arial" w:hAnsi="Arial" w:cs="Arial"/>
        </w:rPr>
      </w:pPr>
      <w:r w:rsidRPr="00982200">
        <w:rPr>
          <w:rFonts w:ascii="Arial" w:hAnsi="Arial" w:cs="Arial"/>
        </w:rPr>
        <w:t xml:space="preserve">A trainare l’incremento sono soprattutto i </w:t>
      </w:r>
      <w:r w:rsidR="008E3D3B">
        <w:rPr>
          <w:rFonts w:ascii="Arial" w:hAnsi="Arial" w:cs="Arial"/>
        </w:rPr>
        <w:t xml:space="preserve">volumi avviati a </w:t>
      </w:r>
      <w:r w:rsidR="004B0D0B">
        <w:rPr>
          <w:rFonts w:ascii="Arial" w:hAnsi="Arial" w:cs="Arial"/>
        </w:rPr>
        <w:t>trattamento</w:t>
      </w:r>
      <w:r w:rsidR="008E3D3B">
        <w:rPr>
          <w:rFonts w:ascii="Arial" w:hAnsi="Arial" w:cs="Arial"/>
        </w:rPr>
        <w:t xml:space="preserve"> di </w:t>
      </w:r>
      <w:r w:rsidRPr="00982200">
        <w:rPr>
          <w:rFonts w:ascii="Arial" w:hAnsi="Arial" w:cs="Arial"/>
          <w:b/>
          <w:bCs/>
        </w:rPr>
        <w:t xml:space="preserve">grandi </w:t>
      </w:r>
      <w:r w:rsidR="0096231F">
        <w:rPr>
          <w:rFonts w:ascii="Arial" w:hAnsi="Arial" w:cs="Arial"/>
          <w:b/>
          <w:bCs/>
        </w:rPr>
        <w:t>bianch</w:t>
      </w:r>
      <w:r w:rsidRPr="00982200">
        <w:rPr>
          <w:rFonts w:ascii="Arial" w:hAnsi="Arial" w:cs="Arial"/>
          <w:b/>
          <w:bCs/>
        </w:rPr>
        <w:t>i (R2)</w:t>
      </w:r>
      <w:r w:rsidRPr="00982200">
        <w:rPr>
          <w:rFonts w:ascii="Arial" w:hAnsi="Arial" w:cs="Arial"/>
        </w:rPr>
        <w:t xml:space="preserve"> e </w:t>
      </w:r>
      <w:r w:rsidR="008E3D3B">
        <w:rPr>
          <w:rFonts w:ascii="Arial" w:hAnsi="Arial" w:cs="Arial"/>
        </w:rPr>
        <w:t>d</w:t>
      </w:r>
      <w:r w:rsidRPr="00982200">
        <w:rPr>
          <w:rFonts w:ascii="Arial" w:hAnsi="Arial" w:cs="Arial"/>
        </w:rPr>
        <w:t xml:space="preserve">i </w:t>
      </w:r>
      <w:r w:rsidRPr="00982200">
        <w:rPr>
          <w:rFonts w:ascii="Arial" w:hAnsi="Arial" w:cs="Arial"/>
          <w:b/>
          <w:bCs/>
        </w:rPr>
        <w:t>piccoli elettrodomestici ed elettronica di consumo (R4)</w:t>
      </w:r>
      <w:r w:rsidRPr="00982200">
        <w:rPr>
          <w:rFonts w:ascii="Arial" w:hAnsi="Arial" w:cs="Arial"/>
        </w:rPr>
        <w:t xml:space="preserve">, che crescono rispettivamente del </w:t>
      </w:r>
      <w:r w:rsidR="004B0D0B">
        <w:rPr>
          <w:rFonts w:ascii="Arial" w:hAnsi="Arial" w:cs="Arial"/>
          <w:b/>
          <w:bCs/>
        </w:rPr>
        <w:t>5,4</w:t>
      </w:r>
      <w:r w:rsidRPr="00982200">
        <w:rPr>
          <w:rFonts w:ascii="Arial" w:hAnsi="Arial" w:cs="Arial"/>
          <w:b/>
          <w:bCs/>
        </w:rPr>
        <w:t>%</w:t>
      </w:r>
      <w:r w:rsidRPr="00982200">
        <w:rPr>
          <w:rFonts w:ascii="Arial" w:hAnsi="Arial" w:cs="Arial"/>
        </w:rPr>
        <w:t xml:space="preserve"> e del </w:t>
      </w:r>
      <w:r w:rsidR="004B0D0B">
        <w:rPr>
          <w:rFonts w:ascii="Arial" w:hAnsi="Arial" w:cs="Arial"/>
          <w:b/>
          <w:bCs/>
        </w:rPr>
        <w:t>5,1</w:t>
      </w:r>
      <w:r w:rsidRPr="00982200">
        <w:rPr>
          <w:rFonts w:ascii="Arial" w:hAnsi="Arial" w:cs="Arial"/>
          <w:b/>
          <w:bCs/>
        </w:rPr>
        <w:t>%</w:t>
      </w:r>
      <w:r w:rsidR="006873C3">
        <w:rPr>
          <w:rFonts w:ascii="Arial" w:hAnsi="Arial" w:cs="Arial"/>
          <w:b/>
          <w:bCs/>
        </w:rPr>
        <w:t xml:space="preserve"> </w:t>
      </w:r>
      <w:r w:rsidR="006873C3" w:rsidRPr="006873C3">
        <w:rPr>
          <w:rFonts w:ascii="Arial" w:hAnsi="Arial" w:cs="Arial"/>
        </w:rPr>
        <w:t xml:space="preserve">e si attestano a 133.691 tonnellate e </w:t>
      </w:r>
      <w:r w:rsidR="006873C3">
        <w:rPr>
          <w:rFonts w:ascii="Arial" w:hAnsi="Arial" w:cs="Arial"/>
        </w:rPr>
        <w:t xml:space="preserve">a </w:t>
      </w:r>
      <w:r w:rsidR="006873C3" w:rsidRPr="006873C3">
        <w:rPr>
          <w:rFonts w:ascii="Arial" w:hAnsi="Arial" w:cs="Arial"/>
        </w:rPr>
        <w:t>86.652 tonnellate</w:t>
      </w:r>
      <w:r w:rsidRPr="00982200">
        <w:rPr>
          <w:rFonts w:ascii="Arial" w:hAnsi="Arial" w:cs="Arial"/>
        </w:rPr>
        <w:t>. Positiv</w:t>
      </w:r>
      <w:r w:rsidR="006873C3">
        <w:rPr>
          <w:rFonts w:ascii="Arial" w:hAnsi="Arial" w:cs="Arial"/>
        </w:rPr>
        <w:t>o</w:t>
      </w:r>
      <w:r w:rsidRPr="00982200">
        <w:rPr>
          <w:rFonts w:ascii="Arial" w:hAnsi="Arial" w:cs="Arial"/>
        </w:rPr>
        <w:t xml:space="preserve"> anche </w:t>
      </w:r>
      <w:r w:rsidR="006873C3">
        <w:rPr>
          <w:rFonts w:ascii="Arial" w:hAnsi="Arial" w:cs="Arial"/>
        </w:rPr>
        <w:t>il risultato</w:t>
      </w:r>
      <w:r w:rsidRPr="00982200">
        <w:rPr>
          <w:rFonts w:ascii="Arial" w:hAnsi="Arial" w:cs="Arial"/>
        </w:rPr>
        <w:t xml:space="preserve"> di </w:t>
      </w:r>
      <w:r w:rsidR="0096231F" w:rsidRPr="0096231F">
        <w:rPr>
          <w:rFonts w:ascii="Arial" w:hAnsi="Arial" w:cs="Arial"/>
          <w:b/>
          <w:bCs/>
        </w:rPr>
        <w:t>freddo e clima</w:t>
      </w:r>
      <w:r w:rsidR="0096231F">
        <w:rPr>
          <w:rFonts w:ascii="Arial" w:hAnsi="Arial" w:cs="Arial"/>
        </w:rPr>
        <w:t xml:space="preserve"> </w:t>
      </w:r>
      <w:r w:rsidRPr="00982200">
        <w:rPr>
          <w:rFonts w:ascii="Arial" w:hAnsi="Arial" w:cs="Arial"/>
          <w:b/>
          <w:bCs/>
        </w:rPr>
        <w:t>(R1)</w:t>
      </w:r>
      <w:r w:rsidRPr="00982200">
        <w:rPr>
          <w:rFonts w:ascii="Arial" w:hAnsi="Arial" w:cs="Arial"/>
        </w:rPr>
        <w:t>, in aumento dell’</w:t>
      </w:r>
      <w:r w:rsidRPr="00982200">
        <w:rPr>
          <w:rFonts w:ascii="Arial" w:hAnsi="Arial" w:cs="Arial"/>
          <w:b/>
          <w:bCs/>
        </w:rPr>
        <w:t>1,</w:t>
      </w:r>
      <w:r w:rsidR="004B0D0B">
        <w:rPr>
          <w:rFonts w:ascii="Arial" w:hAnsi="Arial" w:cs="Arial"/>
          <w:b/>
          <w:bCs/>
        </w:rPr>
        <w:t>9</w:t>
      </w:r>
      <w:r w:rsidRPr="00982200">
        <w:rPr>
          <w:rFonts w:ascii="Arial" w:hAnsi="Arial" w:cs="Arial"/>
          <w:b/>
          <w:bCs/>
        </w:rPr>
        <w:t>%</w:t>
      </w:r>
      <w:r w:rsidR="006873C3" w:rsidRPr="006873C3">
        <w:rPr>
          <w:rFonts w:ascii="Arial" w:hAnsi="Arial" w:cs="Arial"/>
        </w:rPr>
        <w:t>, per un totale di 106.423 tonnellate raccolte</w:t>
      </w:r>
      <w:r w:rsidRPr="006873C3">
        <w:rPr>
          <w:rFonts w:ascii="Arial" w:hAnsi="Arial" w:cs="Arial"/>
        </w:rPr>
        <w:t xml:space="preserve">. </w:t>
      </w:r>
      <w:r w:rsidRPr="00982200">
        <w:rPr>
          <w:rFonts w:ascii="Arial" w:hAnsi="Arial" w:cs="Arial"/>
        </w:rPr>
        <w:t xml:space="preserve">Di segno opposto, invece, l’andamento delle </w:t>
      </w:r>
      <w:r w:rsidRPr="00982200">
        <w:rPr>
          <w:rFonts w:ascii="Arial" w:hAnsi="Arial" w:cs="Arial"/>
          <w:b/>
          <w:bCs/>
        </w:rPr>
        <w:t>sorgenti luminose (R5)</w:t>
      </w:r>
      <w:r w:rsidRPr="00982200">
        <w:rPr>
          <w:rFonts w:ascii="Arial" w:hAnsi="Arial" w:cs="Arial"/>
        </w:rPr>
        <w:t xml:space="preserve">, </w:t>
      </w:r>
      <w:r w:rsidR="006873C3">
        <w:rPr>
          <w:rFonts w:ascii="Arial" w:hAnsi="Arial" w:cs="Arial"/>
        </w:rPr>
        <w:t xml:space="preserve">che chiudono l’anno con 1.795 tonnellate, </w:t>
      </w:r>
      <w:r w:rsidRPr="00982200">
        <w:rPr>
          <w:rFonts w:ascii="Arial" w:hAnsi="Arial" w:cs="Arial"/>
        </w:rPr>
        <w:t xml:space="preserve">in calo del </w:t>
      </w:r>
      <w:r w:rsidRPr="00982200">
        <w:rPr>
          <w:rFonts w:ascii="Arial" w:hAnsi="Arial" w:cs="Arial"/>
          <w:b/>
          <w:bCs/>
        </w:rPr>
        <w:t>4,</w:t>
      </w:r>
      <w:r w:rsidR="004B0D0B">
        <w:rPr>
          <w:rFonts w:ascii="Arial" w:hAnsi="Arial" w:cs="Arial"/>
          <w:b/>
          <w:bCs/>
        </w:rPr>
        <w:t>5</w:t>
      </w:r>
      <w:r w:rsidRPr="00982200">
        <w:rPr>
          <w:rFonts w:ascii="Arial" w:hAnsi="Arial" w:cs="Arial"/>
          <w:b/>
          <w:bCs/>
        </w:rPr>
        <w:t>%</w:t>
      </w:r>
      <w:r w:rsidRPr="00982200">
        <w:rPr>
          <w:rFonts w:ascii="Arial" w:hAnsi="Arial" w:cs="Arial"/>
        </w:rPr>
        <w:t xml:space="preserve">, e dei </w:t>
      </w:r>
      <w:r w:rsidRPr="00982200">
        <w:rPr>
          <w:rFonts w:ascii="Arial" w:hAnsi="Arial" w:cs="Arial"/>
          <w:b/>
          <w:bCs/>
        </w:rPr>
        <w:t>TV e monitor (R3)</w:t>
      </w:r>
      <w:r w:rsidRPr="00982200">
        <w:rPr>
          <w:rFonts w:ascii="Arial" w:hAnsi="Arial" w:cs="Arial"/>
        </w:rPr>
        <w:t xml:space="preserve">, </w:t>
      </w:r>
      <w:r w:rsidR="008E3D3B">
        <w:rPr>
          <w:rFonts w:ascii="Arial" w:hAnsi="Arial" w:cs="Arial"/>
        </w:rPr>
        <w:t xml:space="preserve">che, </w:t>
      </w:r>
      <w:r w:rsidRPr="00F11FF6">
        <w:rPr>
          <w:rFonts w:ascii="Arial" w:hAnsi="Arial" w:cs="Arial"/>
        </w:rPr>
        <w:t xml:space="preserve">ancora influenzati </w:t>
      </w:r>
      <w:r w:rsidR="004B0D0B" w:rsidRPr="00F11FF6">
        <w:rPr>
          <w:rFonts w:ascii="Arial" w:hAnsi="Arial" w:cs="Arial"/>
        </w:rPr>
        <w:t xml:space="preserve">dagli effetti del cambio tecnologico ormai alle battute finali, </w:t>
      </w:r>
      <w:r w:rsidR="008E3D3B" w:rsidRPr="00F11FF6">
        <w:rPr>
          <w:rFonts w:ascii="Arial" w:hAnsi="Arial" w:cs="Arial"/>
        </w:rPr>
        <w:t xml:space="preserve">perdono il </w:t>
      </w:r>
      <w:r w:rsidR="004B0D0B" w:rsidRPr="00F11FF6">
        <w:rPr>
          <w:rFonts w:ascii="Arial" w:hAnsi="Arial" w:cs="Arial"/>
          <w:b/>
          <w:bCs/>
        </w:rPr>
        <w:t>9,7</w:t>
      </w:r>
      <w:r w:rsidR="008E3D3B" w:rsidRPr="00F11FF6">
        <w:rPr>
          <w:rFonts w:ascii="Arial" w:hAnsi="Arial" w:cs="Arial"/>
          <w:b/>
          <w:bCs/>
        </w:rPr>
        <w:t>%</w:t>
      </w:r>
      <w:r w:rsidR="008E3D3B" w:rsidRPr="00F11FF6">
        <w:rPr>
          <w:rFonts w:ascii="Arial" w:hAnsi="Arial" w:cs="Arial"/>
        </w:rPr>
        <w:t xml:space="preserve"> dei quantitativi</w:t>
      </w:r>
      <w:r w:rsidR="006873C3">
        <w:rPr>
          <w:rFonts w:ascii="Arial" w:hAnsi="Arial" w:cs="Arial"/>
        </w:rPr>
        <w:t xml:space="preserve"> e si fermano a 38.330 tonnellate.</w:t>
      </w:r>
    </w:p>
    <w:p w14:paraId="3930CD96" w14:textId="31F03CF1" w:rsidR="00982200" w:rsidRPr="00982200" w:rsidRDefault="00982200" w:rsidP="00982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outlineLvl w:val="0"/>
        <w:rPr>
          <w:rFonts w:ascii="Arial" w:hAnsi="Arial" w:cs="Arial"/>
        </w:rPr>
      </w:pPr>
    </w:p>
    <w:p w14:paraId="204BD01B" w14:textId="77777777" w:rsidR="00982200" w:rsidRPr="00982200" w:rsidRDefault="00982200" w:rsidP="00982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outlineLvl w:val="0"/>
        <w:rPr>
          <w:rFonts w:ascii="Arial" w:hAnsi="Arial" w:cs="Arial"/>
          <w:b/>
          <w:bCs/>
          <w:u w:val="single"/>
        </w:rPr>
      </w:pPr>
      <w:r w:rsidRPr="00982200">
        <w:rPr>
          <w:rFonts w:ascii="Arial" w:hAnsi="Arial" w:cs="Arial"/>
          <w:b/>
          <w:bCs/>
          <w:u w:val="single"/>
        </w:rPr>
        <w:t>La raccolta nelle aree del Paese</w:t>
      </w:r>
    </w:p>
    <w:p w14:paraId="63293DC3" w14:textId="7EECC0B0" w:rsidR="00982200" w:rsidRPr="00982200" w:rsidRDefault="00982200" w:rsidP="00982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outlineLvl w:val="0"/>
        <w:rPr>
          <w:rFonts w:ascii="Arial" w:hAnsi="Arial" w:cs="Arial"/>
        </w:rPr>
      </w:pPr>
      <w:r w:rsidRPr="00982200">
        <w:rPr>
          <w:rFonts w:ascii="Arial" w:hAnsi="Arial" w:cs="Arial"/>
        </w:rPr>
        <w:t>Sul pian</w:t>
      </w:r>
      <w:r w:rsidR="008E3D3B">
        <w:rPr>
          <w:rFonts w:ascii="Arial" w:hAnsi="Arial" w:cs="Arial"/>
        </w:rPr>
        <w:t>o territoriale, il</w:t>
      </w:r>
      <w:r w:rsidRPr="00982200">
        <w:rPr>
          <w:rFonts w:ascii="Arial" w:hAnsi="Arial" w:cs="Arial"/>
        </w:rPr>
        <w:t xml:space="preserve"> </w:t>
      </w:r>
      <w:r w:rsidRPr="00982200">
        <w:rPr>
          <w:rFonts w:ascii="Arial" w:hAnsi="Arial" w:cs="Arial"/>
          <w:b/>
          <w:bCs/>
        </w:rPr>
        <w:t>Nord</w:t>
      </w:r>
      <w:r w:rsidRPr="00982200">
        <w:rPr>
          <w:rFonts w:ascii="Arial" w:hAnsi="Arial" w:cs="Arial"/>
        </w:rPr>
        <w:t xml:space="preserve"> </w:t>
      </w:r>
      <w:r w:rsidR="008E3D3B" w:rsidRPr="008E3D3B">
        <w:rPr>
          <w:rFonts w:ascii="Arial" w:hAnsi="Arial" w:cs="Arial"/>
          <w:b/>
          <w:bCs/>
        </w:rPr>
        <w:t xml:space="preserve">Italia </w:t>
      </w:r>
      <w:r w:rsidRPr="00982200">
        <w:rPr>
          <w:rFonts w:ascii="Arial" w:hAnsi="Arial" w:cs="Arial"/>
        </w:rPr>
        <w:t xml:space="preserve">si conferma l’area </w:t>
      </w:r>
      <w:r w:rsidR="00534260">
        <w:rPr>
          <w:rFonts w:ascii="Arial" w:hAnsi="Arial" w:cs="Arial"/>
        </w:rPr>
        <w:t xml:space="preserve">con </w:t>
      </w:r>
      <w:r w:rsidR="00BF70AF">
        <w:rPr>
          <w:rFonts w:ascii="Arial" w:hAnsi="Arial" w:cs="Arial"/>
        </w:rPr>
        <w:t xml:space="preserve">la </w:t>
      </w:r>
      <w:r w:rsidR="00534260">
        <w:rPr>
          <w:rFonts w:ascii="Arial" w:hAnsi="Arial" w:cs="Arial"/>
        </w:rPr>
        <w:t>raccolta</w:t>
      </w:r>
      <w:r w:rsidR="00BF70AF">
        <w:rPr>
          <w:rFonts w:ascii="Arial" w:hAnsi="Arial" w:cs="Arial"/>
        </w:rPr>
        <w:t xml:space="preserve"> maggiore</w:t>
      </w:r>
      <w:r w:rsidRPr="00982200">
        <w:rPr>
          <w:rFonts w:ascii="Arial" w:hAnsi="Arial" w:cs="Arial"/>
        </w:rPr>
        <w:t xml:space="preserve">, con </w:t>
      </w:r>
      <w:r w:rsidRPr="00982200">
        <w:rPr>
          <w:rFonts w:ascii="Arial" w:hAnsi="Arial" w:cs="Arial"/>
          <w:b/>
          <w:bCs/>
        </w:rPr>
        <w:t>19</w:t>
      </w:r>
      <w:r w:rsidR="00BF70AF">
        <w:rPr>
          <w:rFonts w:ascii="Arial" w:hAnsi="Arial" w:cs="Arial"/>
          <w:b/>
          <w:bCs/>
        </w:rPr>
        <w:t>2</w:t>
      </w:r>
      <w:r w:rsidRPr="00982200">
        <w:rPr>
          <w:rFonts w:ascii="Arial" w:hAnsi="Arial" w:cs="Arial"/>
          <w:b/>
          <w:bCs/>
        </w:rPr>
        <w:t>.</w:t>
      </w:r>
      <w:r w:rsidR="00BF70AF">
        <w:rPr>
          <w:rFonts w:ascii="Arial" w:hAnsi="Arial" w:cs="Arial"/>
          <w:b/>
          <w:bCs/>
        </w:rPr>
        <w:t>952</w:t>
      </w:r>
      <w:r w:rsidRPr="00982200">
        <w:rPr>
          <w:rFonts w:ascii="Arial" w:hAnsi="Arial" w:cs="Arial"/>
          <w:b/>
          <w:bCs/>
        </w:rPr>
        <w:t xml:space="preserve"> tonnellate</w:t>
      </w:r>
      <w:r w:rsidRPr="00982200">
        <w:rPr>
          <w:rFonts w:ascii="Arial" w:hAnsi="Arial" w:cs="Arial"/>
        </w:rPr>
        <w:t xml:space="preserve"> e una media di </w:t>
      </w:r>
      <w:r w:rsidR="00BF70AF">
        <w:rPr>
          <w:rFonts w:ascii="Arial" w:hAnsi="Arial" w:cs="Arial"/>
          <w:b/>
          <w:bCs/>
        </w:rPr>
        <w:t>7</w:t>
      </w:r>
      <w:r w:rsidRPr="00982200">
        <w:rPr>
          <w:rFonts w:ascii="Arial" w:hAnsi="Arial" w:cs="Arial"/>
          <w:b/>
          <w:bCs/>
        </w:rPr>
        <w:t>,</w:t>
      </w:r>
      <w:r w:rsidR="00BF70AF">
        <w:rPr>
          <w:rFonts w:ascii="Arial" w:hAnsi="Arial" w:cs="Arial"/>
          <w:b/>
          <w:bCs/>
        </w:rPr>
        <w:t>02</w:t>
      </w:r>
      <w:r w:rsidRPr="00982200">
        <w:rPr>
          <w:rFonts w:ascii="Arial" w:hAnsi="Arial" w:cs="Arial"/>
          <w:b/>
          <w:bCs/>
        </w:rPr>
        <w:t xml:space="preserve"> kg</w:t>
      </w:r>
      <w:r w:rsidR="008E3D3B">
        <w:rPr>
          <w:rFonts w:ascii="Arial" w:hAnsi="Arial" w:cs="Arial"/>
          <w:b/>
          <w:bCs/>
        </w:rPr>
        <w:t>/ab</w:t>
      </w:r>
      <w:r w:rsidRPr="00982200">
        <w:rPr>
          <w:rFonts w:ascii="Arial" w:hAnsi="Arial" w:cs="Arial"/>
        </w:rPr>
        <w:t>.</w:t>
      </w:r>
      <w:r w:rsidR="008E3D3B">
        <w:rPr>
          <w:rFonts w:ascii="Arial" w:hAnsi="Arial" w:cs="Arial"/>
        </w:rPr>
        <w:t xml:space="preserve"> </w:t>
      </w:r>
      <w:r w:rsidRPr="00982200">
        <w:rPr>
          <w:rFonts w:ascii="Arial" w:hAnsi="Arial" w:cs="Arial"/>
        </w:rPr>
        <w:t xml:space="preserve">Il </w:t>
      </w:r>
      <w:r w:rsidRPr="00982200">
        <w:rPr>
          <w:rFonts w:ascii="Arial" w:hAnsi="Arial" w:cs="Arial"/>
          <w:b/>
          <w:bCs/>
        </w:rPr>
        <w:t>Centro Italia</w:t>
      </w:r>
      <w:r w:rsidRPr="00982200">
        <w:rPr>
          <w:rFonts w:ascii="Arial" w:hAnsi="Arial" w:cs="Arial"/>
        </w:rPr>
        <w:t xml:space="preserve"> </w:t>
      </w:r>
      <w:r w:rsidR="008E3D3B">
        <w:rPr>
          <w:rFonts w:ascii="Arial" w:hAnsi="Arial" w:cs="Arial"/>
        </w:rPr>
        <w:t>raccoglie</w:t>
      </w:r>
      <w:r w:rsidRPr="00982200">
        <w:rPr>
          <w:rFonts w:ascii="Arial" w:hAnsi="Arial" w:cs="Arial"/>
        </w:rPr>
        <w:t xml:space="preserve"> </w:t>
      </w:r>
      <w:r w:rsidRPr="00982200">
        <w:rPr>
          <w:rFonts w:ascii="Arial" w:hAnsi="Arial" w:cs="Arial"/>
          <w:b/>
          <w:bCs/>
        </w:rPr>
        <w:t>8</w:t>
      </w:r>
      <w:r w:rsidR="00BF70AF">
        <w:rPr>
          <w:rFonts w:ascii="Arial" w:hAnsi="Arial" w:cs="Arial"/>
          <w:b/>
          <w:bCs/>
        </w:rPr>
        <w:t>5</w:t>
      </w:r>
      <w:r w:rsidRPr="00982200">
        <w:rPr>
          <w:rFonts w:ascii="Arial" w:hAnsi="Arial" w:cs="Arial"/>
          <w:b/>
          <w:bCs/>
        </w:rPr>
        <w:t>.</w:t>
      </w:r>
      <w:r w:rsidR="00BF70AF">
        <w:rPr>
          <w:rFonts w:ascii="Arial" w:hAnsi="Arial" w:cs="Arial"/>
          <w:b/>
          <w:bCs/>
        </w:rPr>
        <w:t>85</w:t>
      </w:r>
      <w:r w:rsidRPr="00982200">
        <w:rPr>
          <w:rFonts w:ascii="Arial" w:hAnsi="Arial" w:cs="Arial"/>
          <w:b/>
          <w:bCs/>
        </w:rPr>
        <w:t>4 tonnellate</w:t>
      </w:r>
      <w:r w:rsidR="008E3D3B">
        <w:rPr>
          <w:rFonts w:ascii="Arial" w:hAnsi="Arial" w:cs="Arial"/>
          <w:b/>
          <w:bCs/>
        </w:rPr>
        <w:t xml:space="preserve">, </w:t>
      </w:r>
      <w:r w:rsidR="008E3D3B" w:rsidRPr="00A253B8">
        <w:rPr>
          <w:rFonts w:ascii="Arial" w:hAnsi="Arial" w:cs="Arial"/>
        </w:rPr>
        <w:t>pari a</w:t>
      </w:r>
      <w:r w:rsidR="008E3D3B">
        <w:rPr>
          <w:rFonts w:ascii="Arial" w:hAnsi="Arial" w:cs="Arial"/>
          <w:b/>
          <w:bCs/>
        </w:rPr>
        <w:t xml:space="preserve"> </w:t>
      </w:r>
      <w:r w:rsidRPr="00982200">
        <w:rPr>
          <w:rFonts w:ascii="Arial" w:hAnsi="Arial" w:cs="Arial"/>
          <w:b/>
          <w:bCs/>
        </w:rPr>
        <w:t>6,</w:t>
      </w:r>
      <w:r w:rsidR="00BF70AF">
        <w:rPr>
          <w:rFonts w:ascii="Arial" w:hAnsi="Arial" w:cs="Arial"/>
          <w:b/>
          <w:bCs/>
        </w:rPr>
        <w:t>61</w:t>
      </w:r>
      <w:r w:rsidRPr="00982200">
        <w:rPr>
          <w:rFonts w:ascii="Arial" w:hAnsi="Arial" w:cs="Arial"/>
          <w:b/>
          <w:bCs/>
        </w:rPr>
        <w:t xml:space="preserve"> kg</w:t>
      </w:r>
      <w:r w:rsidR="008E3D3B">
        <w:rPr>
          <w:rFonts w:ascii="Arial" w:hAnsi="Arial" w:cs="Arial"/>
          <w:b/>
          <w:bCs/>
        </w:rPr>
        <w:t>/ab</w:t>
      </w:r>
      <w:r w:rsidRPr="00982200">
        <w:rPr>
          <w:rFonts w:ascii="Arial" w:hAnsi="Arial" w:cs="Arial"/>
        </w:rPr>
        <w:t xml:space="preserve">, un </w:t>
      </w:r>
      <w:r w:rsidR="008E3D3B">
        <w:rPr>
          <w:rFonts w:ascii="Arial" w:hAnsi="Arial" w:cs="Arial"/>
        </w:rPr>
        <w:t>risultato</w:t>
      </w:r>
      <w:r w:rsidRPr="00982200">
        <w:rPr>
          <w:rFonts w:ascii="Arial" w:hAnsi="Arial" w:cs="Arial"/>
        </w:rPr>
        <w:t xml:space="preserve"> superiore </w:t>
      </w:r>
      <w:r w:rsidR="008E3D3B">
        <w:rPr>
          <w:rFonts w:ascii="Arial" w:hAnsi="Arial" w:cs="Arial"/>
        </w:rPr>
        <w:t>a</w:t>
      </w:r>
      <w:r w:rsidRPr="00982200">
        <w:rPr>
          <w:rFonts w:ascii="Arial" w:hAnsi="Arial" w:cs="Arial"/>
        </w:rPr>
        <w:t>lla media nazionale.</w:t>
      </w:r>
      <w:r w:rsidR="008E3D3B">
        <w:rPr>
          <w:rFonts w:ascii="Arial" w:hAnsi="Arial" w:cs="Arial"/>
        </w:rPr>
        <w:t xml:space="preserve"> </w:t>
      </w:r>
      <w:r w:rsidRPr="00982200">
        <w:rPr>
          <w:rFonts w:ascii="Arial" w:hAnsi="Arial" w:cs="Arial"/>
        </w:rPr>
        <w:t xml:space="preserve">Il </w:t>
      </w:r>
      <w:r w:rsidRPr="00982200">
        <w:rPr>
          <w:rFonts w:ascii="Arial" w:hAnsi="Arial" w:cs="Arial"/>
          <w:b/>
          <w:bCs/>
        </w:rPr>
        <w:t>Sud</w:t>
      </w:r>
      <w:r w:rsidRPr="00982200">
        <w:rPr>
          <w:rFonts w:ascii="Arial" w:hAnsi="Arial" w:cs="Arial"/>
        </w:rPr>
        <w:t xml:space="preserve">, con </w:t>
      </w:r>
      <w:r w:rsidRPr="00982200">
        <w:rPr>
          <w:rFonts w:ascii="Arial" w:hAnsi="Arial" w:cs="Arial"/>
          <w:b/>
          <w:bCs/>
        </w:rPr>
        <w:t>88.0</w:t>
      </w:r>
      <w:r w:rsidR="00BF70AF">
        <w:rPr>
          <w:rFonts w:ascii="Arial" w:hAnsi="Arial" w:cs="Arial"/>
          <w:b/>
          <w:bCs/>
        </w:rPr>
        <w:t>85</w:t>
      </w:r>
      <w:r w:rsidRPr="00982200">
        <w:rPr>
          <w:rFonts w:ascii="Arial" w:hAnsi="Arial" w:cs="Arial"/>
          <w:b/>
          <w:bCs/>
        </w:rPr>
        <w:t xml:space="preserve"> tonnellate</w:t>
      </w:r>
      <w:r w:rsidRPr="00982200">
        <w:rPr>
          <w:rFonts w:ascii="Arial" w:hAnsi="Arial" w:cs="Arial"/>
        </w:rPr>
        <w:t>, mostra una situazione sostanzialmente stabile</w:t>
      </w:r>
      <w:r w:rsidR="006873C3">
        <w:rPr>
          <w:rFonts w:ascii="Arial" w:hAnsi="Arial" w:cs="Arial"/>
        </w:rPr>
        <w:t>,</w:t>
      </w:r>
      <w:r w:rsidRPr="00982200">
        <w:rPr>
          <w:rFonts w:ascii="Arial" w:hAnsi="Arial" w:cs="Arial"/>
        </w:rPr>
        <w:t xml:space="preserve"> ma una raccolta pro capite pari a </w:t>
      </w:r>
      <w:r w:rsidRPr="00982200">
        <w:rPr>
          <w:rFonts w:ascii="Arial" w:hAnsi="Arial" w:cs="Arial"/>
          <w:b/>
          <w:bCs/>
        </w:rPr>
        <w:t>4,7</w:t>
      </w:r>
      <w:r w:rsidR="00BF70AF">
        <w:rPr>
          <w:rFonts w:ascii="Arial" w:hAnsi="Arial" w:cs="Arial"/>
          <w:b/>
          <w:bCs/>
        </w:rPr>
        <w:t>6</w:t>
      </w:r>
      <w:r w:rsidRPr="00982200">
        <w:rPr>
          <w:rFonts w:ascii="Arial" w:hAnsi="Arial" w:cs="Arial"/>
          <w:b/>
          <w:bCs/>
        </w:rPr>
        <w:t xml:space="preserve"> kg</w:t>
      </w:r>
      <w:r w:rsidR="008E3D3B">
        <w:rPr>
          <w:rFonts w:ascii="Arial" w:hAnsi="Arial" w:cs="Arial"/>
          <w:b/>
          <w:bCs/>
        </w:rPr>
        <w:t>/ab</w:t>
      </w:r>
      <w:r w:rsidRPr="00982200">
        <w:rPr>
          <w:rFonts w:ascii="Arial" w:hAnsi="Arial" w:cs="Arial"/>
        </w:rPr>
        <w:t>, ancora distante dalle altre macroaree.</w:t>
      </w:r>
    </w:p>
    <w:p w14:paraId="403344D2" w14:textId="2181C46B" w:rsidR="00982200" w:rsidRPr="00982200" w:rsidRDefault="00DC613A" w:rsidP="00982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outlineLvl w:val="0"/>
        <w:rPr>
          <w:rFonts w:ascii="Arial" w:hAnsi="Arial" w:cs="Arial"/>
        </w:rPr>
      </w:pPr>
      <w:r w:rsidRPr="00DC613A">
        <w:rPr>
          <w:rFonts w:ascii="Arial" w:hAnsi="Arial" w:cs="Arial"/>
        </w:rPr>
        <w:t xml:space="preserve">Nel complesso, il confronto con il 2024 restituisce un quadro regionale </w:t>
      </w:r>
      <w:r>
        <w:rPr>
          <w:rFonts w:ascii="Arial" w:hAnsi="Arial" w:cs="Arial"/>
        </w:rPr>
        <w:t xml:space="preserve">abbastanza </w:t>
      </w:r>
      <w:r w:rsidRPr="00DC613A">
        <w:rPr>
          <w:rFonts w:ascii="Arial" w:hAnsi="Arial" w:cs="Arial"/>
        </w:rPr>
        <w:t>positivo:</w:t>
      </w:r>
      <w:r w:rsidR="00982200" w:rsidRPr="00982200">
        <w:rPr>
          <w:rFonts w:ascii="Arial" w:hAnsi="Arial" w:cs="Arial"/>
        </w:rPr>
        <w:t xml:space="preserve"> </w:t>
      </w:r>
      <w:r w:rsidR="007A5F99">
        <w:rPr>
          <w:rFonts w:ascii="Arial" w:hAnsi="Arial" w:cs="Arial"/>
        </w:rPr>
        <w:t>quindici</w:t>
      </w:r>
      <w:r w:rsidR="00982200" w:rsidRPr="00982200">
        <w:rPr>
          <w:rFonts w:ascii="Arial" w:hAnsi="Arial" w:cs="Arial"/>
        </w:rPr>
        <w:t xml:space="preserve"> regioni aumentano i volumi raccolti, con crescite superiori al 6% in </w:t>
      </w:r>
      <w:r w:rsidR="006873C3">
        <w:rPr>
          <w:rFonts w:ascii="Arial" w:hAnsi="Arial" w:cs="Arial"/>
        </w:rPr>
        <w:t>cinque</w:t>
      </w:r>
      <w:r w:rsidR="00982200" w:rsidRPr="00982200">
        <w:rPr>
          <w:rFonts w:ascii="Arial" w:hAnsi="Arial" w:cs="Arial"/>
        </w:rPr>
        <w:t xml:space="preserve"> casi. Si distinguono </w:t>
      </w:r>
      <w:r w:rsidR="00BF70AF" w:rsidRPr="00BF70AF">
        <w:rPr>
          <w:rFonts w:ascii="Arial" w:hAnsi="Arial" w:cs="Arial"/>
          <w:b/>
          <w:bCs/>
        </w:rPr>
        <w:t>Molise</w:t>
      </w:r>
      <w:r w:rsidR="00982200" w:rsidRPr="00982200">
        <w:rPr>
          <w:rFonts w:ascii="Arial" w:hAnsi="Arial" w:cs="Arial"/>
          <w:b/>
          <w:bCs/>
        </w:rPr>
        <w:t xml:space="preserve"> (+</w:t>
      </w:r>
      <w:r w:rsidR="00BF70AF">
        <w:rPr>
          <w:rFonts w:ascii="Arial" w:hAnsi="Arial" w:cs="Arial"/>
          <w:b/>
          <w:bCs/>
        </w:rPr>
        <w:t>17,4</w:t>
      </w:r>
      <w:r w:rsidR="00982200" w:rsidRPr="00982200">
        <w:rPr>
          <w:rFonts w:ascii="Arial" w:hAnsi="Arial" w:cs="Arial"/>
          <w:b/>
          <w:bCs/>
        </w:rPr>
        <w:t>%)</w:t>
      </w:r>
      <w:r w:rsidR="00982200" w:rsidRPr="00982200">
        <w:rPr>
          <w:rFonts w:ascii="Arial" w:hAnsi="Arial" w:cs="Arial"/>
        </w:rPr>
        <w:t xml:space="preserve">, </w:t>
      </w:r>
      <w:r w:rsidR="00BF70AF" w:rsidRPr="00BF70AF">
        <w:rPr>
          <w:rFonts w:ascii="Arial" w:hAnsi="Arial" w:cs="Arial"/>
          <w:b/>
          <w:bCs/>
        </w:rPr>
        <w:t>Abruzzo</w:t>
      </w:r>
      <w:r w:rsidR="00982200" w:rsidRPr="00982200">
        <w:rPr>
          <w:rFonts w:ascii="Arial" w:hAnsi="Arial" w:cs="Arial"/>
          <w:b/>
          <w:bCs/>
        </w:rPr>
        <w:t xml:space="preserve"> (+7,</w:t>
      </w:r>
      <w:r w:rsidR="00BF70AF">
        <w:rPr>
          <w:rFonts w:ascii="Arial" w:hAnsi="Arial" w:cs="Arial"/>
          <w:b/>
          <w:bCs/>
        </w:rPr>
        <w:t>3</w:t>
      </w:r>
      <w:r w:rsidR="00982200" w:rsidRPr="00982200">
        <w:rPr>
          <w:rFonts w:ascii="Arial" w:hAnsi="Arial" w:cs="Arial"/>
          <w:b/>
          <w:bCs/>
        </w:rPr>
        <w:t>%)</w:t>
      </w:r>
      <w:r w:rsidR="00982200" w:rsidRPr="00982200">
        <w:rPr>
          <w:rFonts w:ascii="Arial" w:hAnsi="Arial" w:cs="Arial"/>
        </w:rPr>
        <w:t xml:space="preserve">, </w:t>
      </w:r>
      <w:r w:rsidR="006873C3" w:rsidRPr="006873C3">
        <w:rPr>
          <w:rFonts w:ascii="Arial" w:hAnsi="Arial" w:cs="Arial"/>
          <w:b/>
          <w:bCs/>
        </w:rPr>
        <w:t>Puglia (+7,2%)</w:t>
      </w:r>
      <w:r w:rsidR="006873C3">
        <w:rPr>
          <w:rFonts w:ascii="Arial" w:hAnsi="Arial" w:cs="Arial"/>
        </w:rPr>
        <w:t xml:space="preserve">, </w:t>
      </w:r>
      <w:r w:rsidR="00BF70AF" w:rsidRPr="00BF70AF">
        <w:rPr>
          <w:rFonts w:ascii="Arial" w:hAnsi="Arial" w:cs="Arial"/>
          <w:b/>
          <w:bCs/>
        </w:rPr>
        <w:t>Lazio</w:t>
      </w:r>
      <w:r w:rsidR="00982200" w:rsidRPr="00982200">
        <w:rPr>
          <w:rFonts w:ascii="Arial" w:hAnsi="Arial" w:cs="Arial"/>
          <w:b/>
          <w:bCs/>
        </w:rPr>
        <w:t xml:space="preserve"> (+6,</w:t>
      </w:r>
      <w:r w:rsidR="00BF70AF">
        <w:rPr>
          <w:rFonts w:ascii="Arial" w:hAnsi="Arial" w:cs="Arial"/>
          <w:b/>
          <w:bCs/>
        </w:rPr>
        <w:t>9</w:t>
      </w:r>
      <w:r w:rsidR="00982200" w:rsidRPr="00982200">
        <w:rPr>
          <w:rFonts w:ascii="Arial" w:hAnsi="Arial" w:cs="Arial"/>
          <w:b/>
          <w:bCs/>
        </w:rPr>
        <w:t>%)</w:t>
      </w:r>
      <w:r w:rsidR="00982200" w:rsidRPr="00982200">
        <w:rPr>
          <w:rFonts w:ascii="Arial" w:hAnsi="Arial" w:cs="Arial"/>
        </w:rPr>
        <w:t xml:space="preserve">, </w:t>
      </w:r>
      <w:r w:rsidR="00BF70AF">
        <w:rPr>
          <w:rFonts w:ascii="Arial" w:hAnsi="Arial" w:cs="Arial"/>
        </w:rPr>
        <w:t xml:space="preserve">e </w:t>
      </w:r>
      <w:r w:rsidR="00BF70AF" w:rsidRPr="00BF70AF">
        <w:rPr>
          <w:rFonts w:ascii="Arial" w:hAnsi="Arial" w:cs="Arial"/>
          <w:b/>
          <w:bCs/>
        </w:rPr>
        <w:t>Sardegna</w:t>
      </w:r>
      <w:r w:rsidR="00982200" w:rsidRPr="00982200">
        <w:rPr>
          <w:rFonts w:ascii="Arial" w:hAnsi="Arial" w:cs="Arial"/>
          <w:b/>
          <w:bCs/>
        </w:rPr>
        <w:t xml:space="preserve"> (+6,</w:t>
      </w:r>
      <w:r w:rsidR="00BF70AF">
        <w:rPr>
          <w:rFonts w:ascii="Arial" w:hAnsi="Arial" w:cs="Arial"/>
          <w:b/>
          <w:bCs/>
        </w:rPr>
        <w:t>4</w:t>
      </w:r>
      <w:r w:rsidR="00982200" w:rsidRPr="00982200">
        <w:rPr>
          <w:rFonts w:ascii="Arial" w:hAnsi="Arial" w:cs="Arial"/>
          <w:b/>
          <w:bCs/>
        </w:rPr>
        <w:t>%)</w:t>
      </w:r>
      <w:r w:rsidR="00BF70AF">
        <w:rPr>
          <w:rFonts w:ascii="Arial" w:hAnsi="Arial" w:cs="Arial"/>
          <w:b/>
          <w:bCs/>
        </w:rPr>
        <w:t xml:space="preserve">. </w:t>
      </w:r>
      <w:r>
        <w:rPr>
          <w:rFonts w:ascii="Arial" w:hAnsi="Arial" w:cs="Arial"/>
        </w:rPr>
        <w:t xml:space="preserve">Al contrario, </w:t>
      </w:r>
      <w:r w:rsidR="00BF70AF">
        <w:rPr>
          <w:rFonts w:ascii="Arial" w:hAnsi="Arial" w:cs="Arial"/>
        </w:rPr>
        <w:t>cinque</w:t>
      </w:r>
      <w:r>
        <w:rPr>
          <w:rFonts w:ascii="Arial" w:hAnsi="Arial" w:cs="Arial"/>
        </w:rPr>
        <w:t xml:space="preserve"> regioni perdono parte dei propri volumi</w:t>
      </w:r>
      <w:r w:rsidR="00BF70AF">
        <w:rPr>
          <w:rFonts w:ascii="Arial" w:hAnsi="Arial" w:cs="Arial"/>
        </w:rPr>
        <w:t xml:space="preserve"> </w:t>
      </w:r>
      <w:r w:rsidR="00A253B8">
        <w:rPr>
          <w:rFonts w:ascii="Arial" w:hAnsi="Arial" w:cs="Arial"/>
        </w:rPr>
        <w:t>e le riduzioni maggiori riguardano la</w:t>
      </w:r>
      <w:r w:rsidR="00BF70AF">
        <w:rPr>
          <w:rFonts w:ascii="Arial" w:hAnsi="Arial" w:cs="Arial"/>
        </w:rPr>
        <w:t xml:space="preserve"> </w:t>
      </w:r>
      <w:r w:rsidR="00BF70AF" w:rsidRPr="00BF70AF">
        <w:rPr>
          <w:rFonts w:ascii="Arial" w:hAnsi="Arial" w:cs="Arial"/>
          <w:b/>
          <w:bCs/>
        </w:rPr>
        <w:t>Basilicata</w:t>
      </w:r>
      <w:r w:rsidR="00982200" w:rsidRPr="00982200">
        <w:rPr>
          <w:rFonts w:ascii="Arial" w:hAnsi="Arial" w:cs="Arial"/>
          <w:b/>
          <w:bCs/>
        </w:rPr>
        <w:t xml:space="preserve"> (-</w:t>
      </w:r>
      <w:r w:rsidR="00BF70AF">
        <w:rPr>
          <w:rFonts w:ascii="Arial" w:hAnsi="Arial" w:cs="Arial"/>
          <w:b/>
          <w:bCs/>
        </w:rPr>
        <w:t>10,2</w:t>
      </w:r>
      <w:r w:rsidR="00982200" w:rsidRPr="00982200">
        <w:rPr>
          <w:rFonts w:ascii="Arial" w:hAnsi="Arial" w:cs="Arial"/>
          <w:b/>
          <w:bCs/>
        </w:rPr>
        <w:t>%)</w:t>
      </w:r>
      <w:r w:rsidR="00A253B8">
        <w:rPr>
          <w:rFonts w:ascii="Arial" w:hAnsi="Arial" w:cs="Arial"/>
          <w:b/>
          <w:bCs/>
        </w:rPr>
        <w:t xml:space="preserve"> </w:t>
      </w:r>
      <w:r w:rsidR="00A253B8" w:rsidRPr="00A253B8">
        <w:rPr>
          <w:rFonts w:ascii="Arial" w:hAnsi="Arial" w:cs="Arial"/>
        </w:rPr>
        <w:t>e la</w:t>
      </w:r>
      <w:r w:rsidR="00A253B8">
        <w:rPr>
          <w:rFonts w:ascii="Arial" w:hAnsi="Arial" w:cs="Arial"/>
          <w:b/>
          <w:bCs/>
        </w:rPr>
        <w:t xml:space="preserve"> </w:t>
      </w:r>
      <w:r w:rsidR="00BF70AF" w:rsidRPr="00A253B8">
        <w:rPr>
          <w:rFonts w:ascii="Arial" w:hAnsi="Arial" w:cs="Arial"/>
          <w:b/>
          <w:bCs/>
        </w:rPr>
        <w:t>Sicilia</w:t>
      </w:r>
      <w:r w:rsidR="00BF70AF">
        <w:rPr>
          <w:rFonts w:ascii="Arial" w:hAnsi="Arial" w:cs="Arial"/>
        </w:rPr>
        <w:t xml:space="preserve"> </w:t>
      </w:r>
      <w:r w:rsidR="00BF70AF" w:rsidRPr="00A253B8">
        <w:rPr>
          <w:rFonts w:ascii="Arial" w:hAnsi="Arial" w:cs="Arial"/>
          <w:b/>
          <w:bCs/>
        </w:rPr>
        <w:t>(-8,3%)</w:t>
      </w:r>
      <w:r w:rsidR="00A253B8">
        <w:rPr>
          <w:rFonts w:ascii="Arial" w:hAnsi="Arial" w:cs="Arial"/>
        </w:rPr>
        <w:t>.</w:t>
      </w:r>
    </w:p>
    <w:p w14:paraId="09E4041C" w14:textId="7C25499C" w:rsidR="00982200" w:rsidRDefault="00DC613A" w:rsidP="00982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outlineLvl w:val="0"/>
        <w:rPr>
          <w:rFonts w:ascii="Arial" w:hAnsi="Arial" w:cs="Arial"/>
        </w:rPr>
      </w:pPr>
      <w:r w:rsidRPr="00DC613A">
        <w:rPr>
          <w:rFonts w:ascii="Arial" w:hAnsi="Arial" w:cs="Arial"/>
        </w:rPr>
        <w:t xml:space="preserve">È però l’analisi del dato pro capite a restituire la fotografia più significativa, mettendo in evidenza differenze </w:t>
      </w:r>
      <w:r>
        <w:rPr>
          <w:rFonts w:ascii="Arial" w:hAnsi="Arial" w:cs="Arial"/>
        </w:rPr>
        <w:t>piuttosto</w:t>
      </w:r>
      <w:r w:rsidRPr="00DC613A">
        <w:rPr>
          <w:rFonts w:ascii="Arial" w:hAnsi="Arial" w:cs="Arial"/>
        </w:rPr>
        <w:t xml:space="preserve"> marcate:</w:t>
      </w:r>
      <w:r>
        <w:rPr>
          <w:rFonts w:ascii="Arial" w:hAnsi="Arial" w:cs="Arial"/>
        </w:rPr>
        <w:t xml:space="preserve"> </w:t>
      </w:r>
      <w:r w:rsidR="00982200" w:rsidRPr="00982200">
        <w:rPr>
          <w:rFonts w:ascii="Arial" w:hAnsi="Arial" w:cs="Arial"/>
        </w:rPr>
        <w:t>accanto a regioni che da anni registrano risultati elevati e si avvicinano ai target fissati dall’Unione europea</w:t>
      </w:r>
      <w:r w:rsidR="007A5F99">
        <w:rPr>
          <w:rFonts w:ascii="Arial" w:hAnsi="Arial" w:cs="Arial"/>
        </w:rPr>
        <w:t>,</w:t>
      </w:r>
      <w:r w:rsidR="00982200" w:rsidRPr="00982200">
        <w:rPr>
          <w:rFonts w:ascii="Arial" w:hAnsi="Arial" w:cs="Arial"/>
        </w:rPr>
        <w:t xml:space="preserve"> come </w:t>
      </w:r>
      <w:r w:rsidR="00A253B8" w:rsidRPr="00A253B8">
        <w:rPr>
          <w:rFonts w:ascii="Arial" w:hAnsi="Arial" w:cs="Arial"/>
          <w:b/>
          <w:bCs/>
        </w:rPr>
        <w:t>Valle d’Aosta (10,33 kg/ab)</w:t>
      </w:r>
      <w:r w:rsidR="00A253B8">
        <w:rPr>
          <w:rFonts w:ascii="Arial" w:hAnsi="Arial" w:cs="Arial"/>
        </w:rPr>
        <w:t xml:space="preserve"> e </w:t>
      </w:r>
      <w:r w:rsidR="00A253B8" w:rsidRPr="00A253B8">
        <w:rPr>
          <w:rFonts w:ascii="Arial" w:hAnsi="Arial" w:cs="Arial"/>
          <w:b/>
          <w:bCs/>
        </w:rPr>
        <w:t>Sardegna (10,29 kg/ab)</w:t>
      </w:r>
      <w:r w:rsidR="00982200" w:rsidRPr="00982200">
        <w:rPr>
          <w:rFonts w:ascii="Arial" w:hAnsi="Arial" w:cs="Arial"/>
        </w:rPr>
        <w:t xml:space="preserve">, seguite da </w:t>
      </w:r>
      <w:r w:rsidR="00A253B8">
        <w:rPr>
          <w:rFonts w:ascii="Arial" w:hAnsi="Arial" w:cs="Arial"/>
          <w:b/>
          <w:bCs/>
        </w:rPr>
        <w:t>Toscana (8,74 kg/ab)</w:t>
      </w:r>
      <w:r w:rsidR="00982200" w:rsidRPr="00982200">
        <w:rPr>
          <w:rFonts w:ascii="Arial" w:hAnsi="Arial" w:cs="Arial"/>
          <w:b/>
          <w:bCs/>
        </w:rPr>
        <w:t xml:space="preserve"> e </w:t>
      </w:r>
      <w:r w:rsidR="00A253B8">
        <w:rPr>
          <w:rFonts w:ascii="Arial" w:hAnsi="Arial" w:cs="Arial"/>
          <w:b/>
          <w:bCs/>
        </w:rPr>
        <w:t>Liguria (8,40 kg/ab)</w:t>
      </w:r>
      <w:r w:rsidR="007A5F99" w:rsidRPr="007A5F99">
        <w:rPr>
          <w:rFonts w:ascii="Arial" w:hAnsi="Arial" w:cs="Arial"/>
        </w:rPr>
        <w:t>,</w:t>
      </w:r>
      <w:r w:rsidR="00982200" w:rsidRPr="00982200">
        <w:rPr>
          <w:rFonts w:ascii="Arial" w:hAnsi="Arial" w:cs="Arial"/>
        </w:rPr>
        <w:t xml:space="preserve"> </w:t>
      </w:r>
      <w:r w:rsidR="00982200" w:rsidRPr="00982200">
        <w:rPr>
          <w:rFonts w:ascii="Arial" w:hAnsi="Arial" w:cs="Arial"/>
        </w:rPr>
        <w:lastRenderedPageBreak/>
        <w:t>restano aree in cui la raccolta non raggiunge o</w:t>
      </w:r>
      <w:r>
        <w:rPr>
          <w:rFonts w:ascii="Arial" w:hAnsi="Arial" w:cs="Arial"/>
        </w:rPr>
        <w:t>, al massimo,</w:t>
      </w:r>
      <w:r w:rsidR="00982200" w:rsidRPr="00982200">
        <w:rPr>
          <w:rFonts w:ascii="Arial" w:hAnsi="Arial" w:cs="Arial"/>
        </w:rPr>
        <w:t xml:space="preserve"> supera di poco i </w:t>
      </w:r>
      <w:r w:rsidR="00982200" w:rsidRPr="00A253B8">
        <w:rPr>
          <w:rFonts w:ascii="Arial" w:hAnsi="Arial" w:cs="Arial"/>
        </w:rPr>
        <w:t>5 kg per abitante</w:t>
      </w:r>
      <w:r w:rsidR="00982200" w:rsidRPr="00982200">
        <w:rPr>
          <w:rFonts w:ascii="Arial" w:hAnsi="Arial" w:cs="Arial"/>
        </w:rPr>
        <w:t xml:space="preserve">. Emblematico </w:t>
      </w:r>
      <w:r w:rsidR="007A5F99">
        <w:rPr>
          <w:rFonts w:ascii="Arial" w:hAnsi="Arial" w:cs="Arial"/>
        </w:rPr>
        <w:t xml:space="preserve">poi </w:t>
      </w:r>
      <w:r w:rsidR="00982200" w:rsidRPr="00982200">
        <w:rPr>
          <w:rFonts w:ascii="Arial" w:hAnsi="Arial" w:cs="Arial"/>
        </w:rPr>
        <w:t xml:space="preserve">il caso della </w:t>
      </w:r>
      <w:r w:rsidR="00982200" w:rsidRPr="00982200">
        <w:rPr>
          <w:rFonts w:ascii="Arial" w:hAnsi="Arial" w:cs="Arial"/>
          <w:b/>
          <w:bCs/>
        </w:rPr>
        <w:t>Campania</w:t>
      </w:r>
      <w:r w:rsidR="00982200" w:rsidRPr="00982200">
        <w:rPr>
          <w:rFonts w:ascii="Arial" w:hAnsi="Arial" w:cs="Arial"/>
        </w:rPr>
        <w:t xml:space="preserve">, che si ferma a </w:t>
      </w:r>
      <w:r w:rsidR="00982200" w:rsidRPr="00982200">
        <w:rPr>
          <w:rFonts w:ascii="Arial" w:hAnsi="Arial" w:cs="Arial"/>
          <w:b/>
          <w:bCs/>
        </w:rPr>
        <w:t>2,95 kg</w:t>
      </w:r>
      <w:r w:rsidR="00A253B8">
        <w:rPr>
          <w:rFonts w:ascii="Arial" w:hAnsi="Arial" w:cs="Arial"/>
          <w:b/>
          <w:bCs/>
        </w:rPr>
        <w:t>/</w:t>
      </w:r>
      <w:r w:rsidR="00982200" w:rsidRPr="00982200">
        <w:rPr>
          <w:rFonts w:ascii="Arial" w:hAnsi="Arial" w:cs="Arial"/>
          <w:b/>
          <w:bCs/>
        </w:rPr>
        <w:t>ab</w:t>
      </w:r>
      <w:r w:rsidR="00982200" w:rsidRPr="00982200">
        <w:rPr>
          <w:rFonts w:ascii="Arial" w:hAnsi="Arial" w:cs="Arial"/>
        </w:rPr>
        <w:t>.</w:t>
      </w:r>
    </w:p>
    <w:p w14:paraId="511EC944" w14:textId="77777777" w:rsidR="00567340" w:rsidRDefault="00567340" w:rsidP="00982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outlineLvl w:val="0"/>
        <w:rPr>
          <w:rFonts w:ascii="Arial" w:hAnsi="Arial" w:cs="Arial"/>
        </w:rPr>
      </w:pPr>
    </w:p>
    <w:p w14:paraId="4AF63E39" w14:textId="63BDF57C" w:rsidR="0096231F" w:rsidRDefault="00982200" w:rsidP="00982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outlineLvl w:val="0"/>
        <w:rPr>
          <w:rFonts w:ascii="Arial" w:hAnsi="Arial" w:cs="Arial"/>
          <w:b/>
          <w:bCs/>
          <w:u w:val="single"/>
        </w:rPr>
      </w:pPr>
      <w:r w:rsidRPr="00982200">
        <w:rPr>
          <w:rFonts w:ascii="Arial" w:hAnsi="Arial" w:cs="Arial"/>
          <w:b/>
          <w:bCs/>
          <w:u w:val="single"/>
        </w:rPr>
        <w:t xml:space="preserve">Le performance </w:t>
      </w:r>
      <w:r w:rsidR="00DC613A" w:rsidRPr="001645A4">
        <w:rPr>
          <w:rFonts w:ascii="Arial" w:hAnsi="Arial" w:cs="Arial"/>
          <w:b/>
          <w:bCs/>
          <w:u w:val="single"/>
        </w:rPr>
        <w:t xml:space="preserve">regionali </w:t>
      </w:r>
      <w:r w:rsidRPr="00982200">
        <w:rPr>
          <w:rFonts w:ascii="Arial" w:hAnsi="Arial" w:cs="Arial"/>
          <w:b/>
          <w:bCs/>
          <w:u w:val="single"/>
        </w:rPr>
        <w:t xml:space="preserve">per </w:t>
      </w:r>
      <w:r w:rsidR="00DC613A" w:rsidRPr="001645A4">
        <w:rPr>
          <w:rFonts w:ascii="Arial" w:hAnsi="Arial" w:cs="Arial"/>
          <w:b/>
          <w:bCs/>
          <w:u w:val="single"/>
        </w:rPr>
        <w:t xml:space="preserve">raggruppamenti </w:t>
      </w:r>
      <w:r w:rsidRPr="00982200">
        <w:rPr>
          <w:rFonts w:ascii="Arial" w:hAnsi="Arial" w:cs="Arial"/>
          <w:b/>
          <w:bCs/>
          <w:u w:val="single"/>
        </w:rPr>
        <w:t>di RAEE</w:t>
      </w:r>
    </w:p>
    <w:p w14:paraId="54719F76" w14:textId="3C30CFD0" w:rsidR="00CE49FF" w:rsidRDefault="00982200" w:rsidP="00DC61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outlineLvl w:val="0"/>
        <w:rPr>
          <w:rFonts w:ascii="Arial" w:hAnsi="Arial" w:cs="Arial"/>
        </w:rPr>
      </w:pPr>
      <w:r w:rsidRPr="00982200">
        <w:rPr>
          <w:rFonts w:ascii="Arial" w:hAnsi="Arial" w:cs="Arial"/>
        </w:rPr>
        <w:t xml:space="preserve">L’analisi </w:t>
      </w:r>
      <w:r w:rsidR="000626B1">
        <w:rPr>
          <w:rFonts w:ascii="Arial" w:hAnsi="Arial" w:cs="Arial"/>
        </w:rPr>
        <w:t>pro</w:t>
      </w:r>
      <w:r w:rsidR="00A253B8">
        <w:rPr>
          <w:rFonts w:ascii="Arial" w:hAnsi="Arial" w:cs="Arial"/>
        </w:rPr>
        <w:t xml:space="preserve"> </w:t>
      </w:r>
      <w:r w:rsidR="000626B1">
        <w:rPr>
          <w:rFonts w:ascii="Arial" w:hAnsi="Arial" w:cs="Arial"/>
        </w:rPr>
        <w:t xml:space="preserve">capite </w:t>
      </w:r>
      <w:r w:rsidR="00DC613A">
        <w:rPr>
          <w:rFonts w:ascii="Arial" w:hAnsi="Arial" w:cs="Arial"/>
        </w:rPr>
        <w:t xml:space="preserve">per regioni e </w:t>
      </w:r>
      <w:r w:rsidRPr="00982200">
        <w:rPr>
          <w:rFonts w:ascii="Arial" w:hAnsi="Arial" w:cs="Arial"/>
        </w:rPr>
        <w:t>per raggruppament</w:t>
      </w:r>
      <w:r w:rsidR="00A253B8">
        <w:rPr>
          <w:rFonts w:ascii="Arial" w:hAnsi="Arial" w:cs="Arial"/>
        </w:rPr>
        <w:t xml:space="preserve">i </w:t>
      </w:r>
      <w:r w:rsidR="000626B1">
        <w:rPr>
          <w:rFonts w:ascii="Arial" w:hAnsi="Arial" w:cs="Arial"/>
        </w:rPr>
        <w:t xml:space="preserve">è in grado di </w:t>
      </w:r>
      <w:r w:rsidRPr="00982200">
        <w:rPr>
          <w:rFonts w:ascii="Arial" w:hAnsi="Arial" w:cs="Arial"/>
        </w:rPr>
        <w:t>evidenzia</w:t>
      </w:r>
      <w:r w:rsidR="000626B1">
        <w:rPr>
          <w:rFonts w:ascii="Arial" w:hAnsi="Arial" w:cs="Arial"/>
        </w:rPr>
        <w:t xml:space="preserve">re le </w:t>
      </w:r>
      <w:r w:rsidRPr="00982200">
        <w:rPr>
          <w:rFonts w:ascii="Arial" w:hAnsi="Arial" w:cs="Arial"/>
        </w:rPr>
        <w:t>eccellenze territoriali.</w:t>
      </w:r>
      <w:r w:rsidR="00A253B8">
        <w:rPr>
          <w:rFonts w:ascii="Arial" w:hAnsi="Arial" w:cs="Arial"/>
        </w:rPr>
        <w:t xml:space="preserve"> </w:t>
      </w:r>
      <w:r w:rsidRPr="00982200">
        <w:rPr>
          <w:rFonts w:ascii="Arial" w:hAnsi="Arial" w:cs="Arial"/>
        </w:rPr>
        <w:t xml:space="preserve">La </w:t>
      </w:r>
      <w:r w:rsidRPr="00982200">
        <w:rPr>
          <w:rFonts w:ascii="Arial" w:hAnsi="Arial" w:cs="Arial"/>
          <w:b/>
          <w:bCs/>
        </w:rPr>
        <w:t>Sardegna</w:t>
      </w:r>
      <w:r w:rsidRPr="00982200">
        <w:rPr>
          <w:rFonts w:ascii="Arial" w:hAnsi="Arial" w:cs="Arial"/>
        </w:rPr>
        <w:t xml:space="preserve"> guida la classifica pro capite nella raccolta di </w:t>
      </w:r>
      <w:r w:rsidR="007A5F99">
        <w:rPr>
          <w:rFonts w:ascii="Arial" w:hAnsi="Arial" w:cs="Arial"/>
          <w:b/>
          <w:bCs/>
        </w:rPr>
        <w:t xml:space="preserve">freddo e clima </w:t>
      </w:r>
      <w:r w:rsidRPr="00982200">
        <w:rPr>
          <w:rFonts w:ascii="Arial" w:hAnsi="Arial" w:cs="Arial"/>
          <w:b/>
          <w:bCs/>
        </w:rPr>
        <w:t>(R1)</w:t>
      </w:r>
      <w:r w:rsidR="002D6565">
        <w:rPr>
          <w:rFonts w:ascii="Arial" w:hAnsi="Arial" w:cs="Arial"/>
          <w:b/>
          <w:bCs/>
        </w:rPr>
        <w:t xml:space="preserve"> </w:t>
      </w:r>
      <w:r w:rsidR="002D6565" w:rsidRPr="002D6565">
        <w:rPr>
          <w:rFonts w:ascii="Arial" w:hAnsi="Arial" w:cs="Arial"/>
        </w:rPr>
        <w:t>e</w:t>
      </w:r>
      <w:r w:rsidR="002D6565">
        <w:rPr>
          <w:rFonts w:ascii="Arial" w:hAnsi="Arial" w:cs="Arial"/>
          <w:b/>
          <w:bCs/>
        </w:rPr>
        <w:t xml:space="preserve"> </w:t>
      </w:r>
      <w:r w:rsidR="002D6565" w:rsidRPr="00982200">
        <w:rPr>
          <w:rFonts w:ascii="Arial" w:hAnsi="Arial" w:cs="Arial"/>
        </w:rPr>
        <w:t xml:space="preserve">di </w:t>
      </w:r>
      <w:r w:rsidR="002D6565" w:rsidRPr="00982200">
        <w:rPr>
          <w:rFonts w:ascii="Arial" w:hAnsi="Arial" w:cs="Arial"/>
          <w:b/>
          <w:bCs/>
        </w:rPr>
        <w:t xml:space="preserve">grandi </w:t>
      </w:r>
      <w:r w:rsidR="002D6565">
        <w:rPr>
          <w:rFonts w:ascii="Arial" w:hAnsi="Arial" w:cs="Arial"/>
          <w:b/>
          <w:bCs/>
        </w:rPr>
        <w:t xml:space="preserve">bianchi </w:t>
      </w:r>
      <w:r w:rsidR="002D6565" w:rsidRPr="00982200">
        <w:rPr>
          <w:rFonts w:ascii="Arial" w:hAnsi="Arial" w:cs="Arial"/>
          <w:b/>
          <w:bCs/>
        </w:rPr>
        <w:t>(R2)</w:t>
      </w:r>
      <w:r w:rsidRPr="00982200">
        <w:rPr>
          <w:rFonts w:ascii="Arial" w:hAnsi="Arial" w:cs="Arial"/>
        </w:rPr>
        <w:t>.</w:t>
      </w:r>
      <w:r w:rsidR="00DC613A">
        <w:rPr>
          <w:rFonts w:ascii="Arial" w:hAnsi="Arial" w:cs="Arial"/>
        </w:rPr>
        <w:t xml:space="preserve"> </w:t>
      </w:r>
      <w:r w:rsidRPr="00982200">
        <w:rPr>
          <w:rFonts w:ascii="Arial" w:hAnsi="Arial" w:cs="Arial"/>
        </w:rPr>
        <w:t xml:space="preserve">La </w:t>
      </w:r>
      <w:r w:rsidRPr="00982200">
        <w:rPr>
          <w:rFonts w:ascii="Arial" w:hAnsi="Arial" w:cs="Arial"/>
          <w:b/>
          <w:bCs/>
        </w:rPr>
        <w:t>Basilicata</w:t>
      </w:r>
      <w:r w:rsidRPr="00982200">
        <w:rPr>
          <w:rFonts w:ascii="Arial" w:hAnsi="Arial" w:cs="Arial"/>
        </w:rPr>
        <w:t xml:space="preserve"> si distingue per la migliore performance </w:t>
      </w:r>
      <w:r w:rsidR="00DC613A">
        <w:rPr>
          <w:rFonts w:ascii="Arial" w:hAnsi="Arial" w:cs="Arial"/>
        </w:rPr>
        <w:t xml:space="preserve">per abitante </w:t>
      </w:r>
      <w:r w:rsidRPr="00982200">
        <w:rPr>
          <w:rFonts w:ascii="Arial" w:hAnsi="Arial" w:cs="Arial"/>
        </w:rPr>
        <w:t xml:space="preserve">nella raccolta di </w:t>
      </w:r>
      <w:r w:rsidRPr="00982200">
        <w:rPr>
          <w:rFonts w:ascii="Arial" w:hAnsi="Arial" w:cs="Arial"/>
          <w:b/>
          <w:bCs/>
        </w:rPr>
        <w:t>TV e monitor (R3)</w:t>
      </w:r>
      <w:r w:rsidRPr="00982200">
        <w:rPr>
          <w:rFonts w:ascii="Arial" w:hAnsi="Arial" w:cs="Arial"/>
        </w:rPr>
        <w:t>.</w:t>
      </w:r>
      <w:r w:rsidR="00DC613A">
        <w:rPr>
          <w:rFonts w:ascii="Arial" w:hAnsi="Arial" w:cs="Arial"/>
        </w:rPr>
        <w:t xml:space="preserve"> </w:t>
      </w:r>
      <w:r w:rsidRPr="00982200">
        <w:rPr>
          <w:rFonts w:ascii="Arial" w:hAnsi="Arial" w:cs="Arial"/>
        </w:rPr>
        <w:t xml:space="preserve">La </w:t>
      </w:r>
      <w:r w:rsidRPr="00982200">
        <w:rPr>
          <w:rFonts w:ascii="Arial" w:hAnsi="Arial" w:cs="Arial"/>
          <w:b/>
          <w:bCs/>
        </w:rPr>
        <w:t>Valle d’Aosta</w:t>
      </w:r>
      <w:r w:rsidRPr="00982200">
        <w:rPr>
          <w:rFonts w:ascii="Arial" w:hAnsi="Arial" w:cs="Arial"/>
        </w:rPr>
        <w:t xml:space="preserve"> registra il risultato </w:t>
      </w:r>
      <w:r w:rsidR="00DC613A">
        <w:rPr>
          <w:rFonts w:ascii="Arial" w:hAnsi="Arial" w:cs="Arial"/>
        </w:rPr>
        <w:t xml:space="preserve">pro capite </w:t>
      </w:r>
      <w:r w:rsidRPr="00982200">
        <w:rPr>
          <w:rFonts w:ascii="Arial" w:hAnsi="Arial" w:cs="Arial"/>
        </w:rPr>
        <w:t xml:space="preserve">più alto </w:t>
      </w:r>
      <w:r w:rsidR="002D6565">
        <w:rPr>
          <w:rFonts w:ascii="Arial" w:hAnsi="Arial" w:cs="Arial"/>
        </w:rPr>
        <w:t>nella raccolta di</w:t>
      </w:r>
      <w:r w:rsidRPr="00982200">
        <w:rPr>
          <w:rFonts w:ascii="Arial" w:hAnsi="Arial" w:cs="Arial"/>
        </w:rPr>
        <w:t xml:space="preserve"> </w:t>
      </w:r>
      <w:r w:rsidRPr="00982200">
        <w:rPr>
          <w:rFonts w:ascii="Arial" w:hAnsi="Arial" w:cs="Arial"/>
          <w:b/>
          <w:bCs/>
        </w:rPr>
        <w:t>piccoli elettrodomestici ed elettronica di consumo (R4)</w:t>
      </w:r>
      <w:r w:rsidRPr="00982200">
        <w:rPr>
          <w:rFonts w:ascii="Arial" w:hAnsi="Arial" w:cs="Arial"/>
        </w:rPr>
        <w:t>,</w:t>
      </w:r>
      <w:r w:rsidR="002D6565">
        <w:rPr>
          <w:rFonts w:ascii="Arial" w:hAnsi="Arial" w:cs="Arial"/>
        </w:rPr>
        <w:t xml:space="preserve"> e insieme al </w:t>
      </w:r>
      <w:r w:rsidRPr="00982200">
        <w:rPr>
          <w:rFonts w:ascii="Arial" w:hAnsi="Arial" w:cs="Arial"/>
          <w:b/>
          <w:bCs/>
        </w:rPr>
        <w:t>Trentino-Alto Adige</w:t>
      </w:r>
      <w:r w:rsidR="002D6565">
        <w:rPr>
          <w:rFonts w:ascii="Arial" w:hAnsi="Arial" w:cs="Arial"/>
          <w:b/>
          <w:bCs/>
        </w:rPr>
        <w:t xml:space="preserve">, </w:t>
      </w:r>
      <w:r w:rsidR="002D6565" w:rsidRPr="002D6565">
        <w:rPr>
          <w:rFonts w:ascii="Arial" w:hAnsi="Arial" w:cs="Arial"/>
        </w:rPr>
        <w:t xml:space="preserve">di </w:t>
      </w:r>
      <w:r w:rsidRPr="00982200">
        <w:rPr>
          <w:rFonts w:ascii="Arial" w:hAnsi="Arial" w:cs="Arial"/>
          <w:b/>
          <w:bCs/>
        </w:rPr>
        <w:t>sorgenti luminose (R5)</w:t>
      </w:r>
      <w:r w:rsidRPr="00982200">
        <w:rPr>
          <w:rFonts w:ascii="Arial" w:hAnsi="Arial" w:cs="Arial"/>
        </w:rPr>
        <w:t>.</w:t>
      </w:r>
    </w:p>
    <w:p w14:paraId="73394443" w14:textId="77777777" w:rsidR="004B0D0B" w:rsidRDefault="004B0D0B" w:rsidP="00DC61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outlineLvl w:val="0"/>
        <w:rPr>
          <w:rFonts w:ascii="Arial" w:hAnsi="Arial" w:cs="Arial"/>
        </w:rPr>
      </w:pPr>
    </w:p>
    <w:p w14:paraId="4895BCC9" w14:textId="77777777" w:rsidR="000626B1" w:rsidRPr="00397CEB" w:rsidRDefault="000626B1" w:rsidP="000626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outlineLvl w:val="0"/>
        <w:rPr>
          <w:rFonts w:ascii="Arial" w:hAnsi="Arial" w:cs="Arial"/>
          <w:b/>
          <w:bCs/>
          <w:u w:val="single"/>
        </w:rPr>
      </w:pPr>
      <w:r w:rsidRPr="00397CEB">
        <w:rPr>
          <w:rFonts w:ascii="Arial" w:hAnsi="Arial" w:cs="Arial"/>
          <w:b/>
          <w:bCs/>
          <w:u w:val="single"/>
        </w:rPr>
        <w:t>Dove si raccolgono i RAEE</w:t>
      </w:r>
    </w:p>
    <w:p w14:paraId="33783D4B" w14:textId="12D08995" w:rsidR="000626B1" w:rsidRDefault="000626B1" w:rsidP="000626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outlineLvl w:val="0"/>
        <w:rPr>
          <w:rFonts w:ascii="Arial" w:hAnsi="Arial" w:cs="Arial"/>
        </w:rPr>
      </w:pPr>
      <w:r>
        <w:rPr>
          <w:rFonts w:ascii="Arial" w:hAnsi="Arial" w:cs="Arial"/>
        </w:rPr>
        <w:t>Nel nostro Paese</w:t>
      </w:r>
      <w:r w:rsidRPr="00397CEB">
        <w:rPr>
          <w:rFonts w:ascii="Arial" w:hAnsi="Arial" w:cs="Arial"/>
        </w:rPr>
        <w:t xml:space="preserve"> la raccolta dei RAEE avviene </w:t>
      </w:r>
      <w:r w:rsidR="00476317">
        <w:rPr>
          <w:rFonts w:ascii="Arial" w:hAnsi="Arial" w:cs="Arial"/>
        </w:rPr>
        <w:t xml:space="preserve">principalmente </w:t>
      </w:r>
      <w:r w:rsidRPr="00397CEB">
        <w:rPr>
          <w:rFonts w:ascii="Arial" w:hAnsi="Arial" w:cs="Arial"/>
        </w:rPr>
        <w:t>attraverso due canali: i Comuni, che mettono a disposizione dei cittadini i centri di raccolta, e i rivenditori di apparecchiature elettriche ed elettroniche, che organizzano luoghi di raggruppame</w:t>
      </w:r>
      <w:r w:rsidR="007A5F99">
        <w:rPr>
          <w:rFonts w:ascii="Arial" w:hAnsi="Arial" w:cs="Arial"/>
        </w:rPr>
        <w:t>nto serviti dai Sistemi C</w:t>
      </w:r>
      <w:r w:rsidRPr="00397CEB">
        <w:rPr>
          <w:rFonts w:ascii="Arial" w:hAnsi="Arial" w:cs="Arial"/>
        </w:rPr>
        <w:t>ollettivi. Qui vengono conferiti i RAEE ritirati ai consumatori secondo le modalità “</w:t>
      </w:r>
      <w:r>
        <w:rPr>
          <w:rFonts w:ascii="Arial" w:hAnsi="Arial" w:cs="Arial"/>
        </w:rPr>
        <w:t>1</w:t>
      </w:r>
      <w:r w:rsidRPr="00397CEB">
        <w:rPr>
          <w:rFonts w:ascii="Arial" w:hAnsi="Arial" w:cs="Arial"/>
        </w:rPr>
        <w:t xml:space="preserve"> contro </w:t>
      </w:r>
      <w:r>
        <w:rPr>
          <w:rFonts w:ascii="Arial" w:hAnsi="Arial" w:cs="Arial"/>
        </w:rPr>
        <w:t>1</w:t>
      </w:r>
      <w:r w:rsidRPr="00397CEB">
        <w:rPr>
          <w:rFonts w:ascii="Arial" w:hAnsi="Arial" w:cs="Arial"/>
        </w:rPr>
        <w:t>” e “</w:t>
      </w:r>
      <w:r>
        <w:rPr>
          <w:rFonts w:ascii="Arial" w:hAnsi="Arial" w:cs="Arial"/>
        </w:rPr>
        <w:t>1</w:t>
      </w:r>
      <w:r w:rsidRPr="00397CEB">
        <w:rPr>
          <w:rFonts w:ascii="Arial" w:hAnsi="Arial" w:cs="Arial"/>
        </w:rPr>
        <w:t xml:space="preserve"> contro </w:t>
      </w:r>
      <w:r>
        <w:rPr>
          <w:rFonts w:ascii="Arial" w:hAnsi="Arial" w:cs="Arial"/>
        </w:rPr>
        <w:t>0</w:t>
      </w:r>
      <w:r w:rsidRPr="00397CEB">
        <w:rPr>
          <w:rFonts w:ascii="Arial" w:hAnsi="Arial" w:cs="Arial"/>
        </w:rPr>
        <w:t>”.</w:t>
      </w:r>
      <w:r>
        <w:rPr>
          <w:rFonts w:ascii="Arial" w:hAnsi="Arial" w:cs="Arial"/>
        </w:rPr>
        <w:t xml:space="preserve"> </w:t>
      </w:r>
      <w:r w:rsidRPr="00397CEB">
        <w:rPr>
          <w:rFonts w:ascii="Arial" w:hAnsi="Arial" w:cs="Arial"/>
        </w:rPr>
        <w:t xml:space="preserve">Nel 2025 il </w:t>
      </w:r>
      <w:r w:rsidRPr="00397CEB">
        <w:rPr>
          <w:rFonts w:ascii="Arial" w:hAnsi="Arial" w:cs="Arial"/>
          <w:b/>
          <w:bCs/>
        </w:rPr>
        <w:t>7</w:t>
      </w:r>
      <w:r w:rsidR="00C5221E">
        <w:rPr>
          <w:rFonts w:ascii="Arial" w:hAnsi="Arial" w:cs="Arial"/>
          <w:b/>
          <w:bCs/>
        </w:rPr>
        <w:t>6</w:t>
      </w:r>
      <w:r w:rsidRPr="00397CEB">
        <w:rPr>
          <w:rFonts w:ascii="Arial" w:hAnsi="Arial" w:cs="Arial"/>
          <w:b/>
          <w:bCs/>
        </w:rPr>
        <w:t>,</w:t>
      </w:r>
      <w:r w:rsidR="00C5221E">
        <w:rPr>
          <w:rFonts w:ascii="Arial" w:hAnsi="Arial" w:cs="Arial"/>
          <w:b/>
          <w:bCs/>
        </w:rPr>
        <w:t>3</w:t>
      </w:r>
      <w:r w:rsidRPr="00397CEB">
        <w:rPr>
          <w:rFonts w:ascii="Arial" w:hAnsi="Arial" w:cs="Arial"/>
          <w:b/>
          <w:bCs/>
        </w:rPr>
        <w:t>%</w:t>
      </w:r>
      <w:r w:rsidRPr="00397CEB">
        <w:rPr>
          <w:rFonts w:ascii="Arial" w:hAnsi="Arial" w:cs="Arial"/>
        </w:rPr>
        <w:t xml:space="preserve"> dei RAEE avviati a riciclo a livello nazionale è stato raccolto presso i</w:t>
      </w:r>
      <w:r w:rsidRPr="00397CEB">
        <w:rPr>
          <w:rFonts w:ascii="Arial" w:hAnsi="Arial" w:cs="Arial"/>
          <w:b/>
          <w:bCs/>
        </w:rPr>
        <w:t xml:space="preserve"> centri </w:t>
      </w:r>
      <w:r>
        <w:rPr>
          <w:rFonts w:ascii="Arial" w:hAnsi="Arial" w:cs="Arial"/>
          <w:b/>
          <w:bCs/>
        </w:rPr>
        <w:t xml:space="preserve">di raccolta </w:t>
      </w:r>
      <w:r w:rsidRPr="00397CEB">
        <w:rPr>
          <w:rFonts w:ascii="Arial" w:hAnsi="Arial" w:cs="Arial"/>
          <w:b/>
          <w:bCs/>
        </w:rPr>
        <w:t>comunali</w:t>
      </w:r>
      <w:r w:rsidRPr="00397CEB">
        <w:rPr>
          <w:rFonts w:ascii="Arial" w:hAnsi="Arial" w:cs="Arial"/>
        </w:rPr>
        <w:t xml:space="preserve">, mentre il </w:t>
      </w:r>
      <w:r w:rsidRPr="00397CEB">
        <w:rPr>
          <w:rFonts w:ascii="Arial" w:hAnsi="Arial" w:cs="Arial"/>
          <w:b/>
          <w:bCs/>
        </w:rPr>
        <w:t>2</w:t>
      </w:r>
      <w:r w:rsidR="00E51F4B">
        <w:rPr>
          <w:rFonts w:ascii="Arial" w:hAnsi="Arial" w:cs="Arial"/>
          <w:b/>
          <w:bCs/>
        </w:rPr>
        <w:t>3</w:t>
      </w:r>
      <w:r w:rsidRPr="00397CEB">
        <w:rPr>
          <w:rFonts w:ascii="Arial" w:hAnsi="Arial" w:cs="Arial"/>
          <w:b/>
          <w:bCs/>
        </w:rPr>
        <w:t>,</w:t>
      </w:r>
      <w:r w:rsidR="00E51F4B">
        <w:rPr>
          <w:rFonts w:ascii="Arial" w:hAnsi="Arial" w:cs="Arial"/>
          <w:b/>
          <w:bCs/>
        </w:rPr>
        <w:t>3</w:t>
      </w:r>
      <w:r w:rsidRPr="00397CEB">
        <w:rPr>
          <w:rFonts w:ascii="Arial" w:hAnsi="Arial" w:cs="Arial"/>
          <w:b/>
          <w:bCs/>
        </w:rPr>
        <w:t>%</w:t>
      </w:r>
      <w:r w:rsidRPr="00397CEB">
        <w:rPr>
          <w:rFonts w:ascii="Arial" w:hAnsi="Arial" w:cs="Arial"/>
        </w:rPr>
        <w:t xml:space="preserve"> </w:t>
      </w:r>
      <w:r>
        <w:rPr>
          <w:rFonts w:ascii="Arial" w:hAnsi="Arial" w:cs="Arial"/>
        </w:rPr>
        <w:t xml:space="preserve">presso </w:t>
      </w:r>
      <w:r w:rsidRPr="00397CEB">
        <w:rPr>
          <w:rFonts w:ascii="Arial" w:hAnsi="Arial" w:cs="Arial"/>
        </w:rPr>
        <w:t xml:space="preserve">i </w:t>
      </w:r>
      <w:r w:rsidRPr="00397CEB">
        <w:rPr>
          <w:rFonts w:ascii="Arial" w:hAnsi="Arial" w:cs="Arial"/>
          <w:b/>
          <w:bCs/>
        </w:rPr>
        <w:t>luoghi di raggruppamento della distribuzione</w:t>
      </w:r>
      <w:r w:rsidR="00F41382" w:rsidRPr="00F41382">
        <w:rPr>
          <w:rFonts w:ascii="Arial" w:hAnsi="Arial" w:cs="Arial"/>
        </w:rPr>
        <w:t xml:space="preserve">. </w:t>
      </w:r>
      <w:r w:rsidR="00F41382">
        <w:rPr>
          <w:rFonts w:ascii="Arial" w:hAnsi="Arial" w:cs="Arial"/>
        </w:rPr>
        <w:t>G</w:t>
      </w:r>
      <w:r w:rsidR="00F41382" w:rsidRPr="00F41382">
        <w:rPr>
          <w:rFonts w:ascii="Arial" w:hAnsi="Arial" w:cs="Arial"/>
        </w:rPr>
        <w:t>li al</w:t>
      </w:r>
      <w:r w:rsidR="00F41382">
        <w:rPr>
          <w:rFonts w:ascii="Arial" w:hAnsi="Arial" w:cs="Arial"/>
        </w:rPr>
        <w:t>t</w:t>
      </w:r>
      <w:r w:rsidR="00F41382" w:rsidRPr="00F41382">
        <w:rPr>
          <w:rFonts w:ascii="Arial" w:hAnsi="Arial" w:cs="Arial"/>
        </w:rPr>
        <w:t>r</w:t>
      </w:r>
      <w:r w:rsidR="00F41382">
        <w:rPr>
          <w:rFonts w:ascii="Arial" w:hAnsi="Arial" w:cs="Arial"/>
        </w:rPr>
        <w:t xml:space="preserve">i </w:t>
      </w:r>
      <w:r w:rsidR="00C5221E">
        <w:rPr>
          <w:rFonts w:ascii="Arial" w:hAnsi="Arial" w:cs="Arial"/>
        </w:rPr>
        <w:t>siti di conferimento</w:t>
      </w:r>
      <w:r w:rsidR="00F41382">
        <w:rPr>
          <w:rFonts w:ascii="Arial" w:hAnsi="Arial" w:cs="Arial"/>
        </w:rPr>
        <w:t xml:space="preserve"> iscritti al Centro di Coordinamento RAEE </w:t>
      </w:r>
      <w:r w:rsidR="00C5221E">
        <w:rPr>
          <w:rFonts w:ascii="Arial" w:hAnsi="Arial" w:cs="Arial"/>
        </w:rPr>
        <w:t>hanno contribuito</w:t>
      </w:r>
      <w:r w:rsidR="00F41382">
        <w:rPr>
          <w:rFonts w:ascii="Arial" w:hAnsi="Arial" w:cs="Arial"/>
        </w:rPr>
        <w:t xml:space="preserve"> per lo 0,</w:t>
      </w:r>
      <w:r w:rsidR="00E51F4B">
        <w:rPr>
          <w:rFonts w:ascii="Arial" w:hAnsi="Arial" w:cs="Arial"/>
        </w:rPr>
        <w:t>4</w:t>
      </w:r>
      <w:r w:rsidR="00F41382">
        <w:rPr>
          <w:rFonts w:ascii="Arial" w:hAnsi="Arial" w:cs="Arial"/>
        </w:rPr>
        <w:t>%</w:t>
      </w:r>
      <w:r w:rsidRPr="00397CEB">
        <w:rPr>
          <w:rFonts w:ascii="Arial" w:hAnsi="Arial" w:cs="Arial"/>
        </w:rPr>
        <w:t>.</w:t>
      </w:r>
    </w:p>
    <w:p w14:paraId="0B9EB6ED" w14:textId="77777777" w:rsidR="000626B1" w:rsidRDefault="000626B1" w:rsidP="00DC61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outlineLvl w:val="0"/>
        <w:rPr>
          <w:rFonts w:ascii="Arial" w:hAnsi="Arial" w:cs="Arial"/>
        </w:rPr>
      </w:pPr>
    </w:p>
    <w:p w14:paraId="3D245389" w14:textId="48334CC4" w:rsidR="000626B1" w:rsidRPr="00F11FF6" w:rsidRDefault="00852269" w:rsidP="00DC61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outlineLvl w:val="0"/>
        <w:rPr>
          <w:rFonts w:ascii="Arial" w:hAnsi="Arial" w:cs="Arial"/>
          <w:b/>
          <w:bCs/>
          <w:u w:val="single"/>
        </w:rPr>
      </w:pPr>
      <w:r>
        <w:rPr>
          <w:rFonts w:ascii="Arial" w:hAnsi="Arial" w:cs="Arial"/>
          <w:b/>
          <w:bCs/>
          <w:u w:val="single"/>
        </w:rPr>
        <w:t>La contribuzione economica</w:t>
      </w:r>
    </w:p>
    <w:p w14:paraId="4AE9FE58" w14:textId="77777777" w:rsidR="008F62D1" w:rsidRPr="00F11FF6" w:rsidRDefault="00536007" w:rsidP="00536007">
      <w:pPr>
        <w:jc w:val="both"/>
        <w:rPr>
          <w:rFonts w:ascii="Arial" w:hAnsi="Arial" w:cs="Arial"/>
        </w:rPr>
      </w:pPr>
      <w:r w:rsidRPr="00F11FF6">
        <w:rPr>
          <w:rFonts w:ascii="Arial" w:hAnsi="Arial" w:cs="Arial"/>
        </w:rPr>
        <w:t xml:space="preserve">Nel 2025 i Comuni e i rivenditori di apparecchiature elettriche ed elettroniche hanno ricevuto complessivamente </w:t>
      </w:r>
      <w:r w:rsidRPr="00F11FF6">
        <w:rPr>
          <w:rFonts w:ascii="Arial" w:hAnsi="Arial" w:cs="Arial"/>
          <w:b/>
          <w:bCs/>
        </w:rPr>
        <w:t>30.385.167 euro</w:t>
      </w:r>
      <w:r w:rsidRPr="00F11FF6">
        <w:rPr>
          <w:rFonts w:ascii="Arial" w:hAnsi="Arial" w:cs="Arial"/>
        </w:rPr>
        <w:t xml:space="preserve"> in premi di efficienza: contributi messi a disposizione dai produttori attraverso i Sistemi Collettivi per sostenere i gestori de</w:t>
      </w:r>
      <w:r w:rsidR="00600D98" w:rsidRPr="00F11FF6">
        <w:rPr>
          <w:rFonts w:ascii="Arial" w:hAnsi="Arial" w:cs="Arial"/>
        </w:rPr>
        <w:t>lla raccolta che</w:t>
      </w:r>
      <w:r w:rsidRPr="00F11FF6">
        <w:rPr>
          <w:rFonts w:ascii="Arial" w:hAnsi="Arial" w:cs="Arial"/>
        </w:rPr>
        <w:t xml:space="preserve"> rispettano </w:t>
      </w:r>
      <w:r w:rsidR="00600D98" w:rsidRPr="00F11FF6">
        <w:rPr>
          <w:rFonts w:ascii="Arial" w:hAnsi="Arial" w:cs="Arial"/>
        </w:rPr>
        <w:t>i requisiti previsti dagli Accordi di programma, c</w:t>
      </w:r>
      <w:r w:rsidRPr="00F11FF6">
        <w:rPr>
          <w:rFonts w:ascii="Arial" w:hAnsi="Arial" w:cs="Arial"/>
        </w:rPr>
        <w:t>ontribu</w:t>
      </w:r>
      <w:r w:rsidR="00600D98" w:rsidRPr="00F11FF6">
        <w:rPr>
          <w:rFonts w:ascii="Arial" w:hAnsi="Arial" w:cs="Arial"/>
        </w:rPr>
        <w:t xml:space="preserve">endo così </w:t>
      </w:r>
      <w:r w:rsidRPr="00F11FF6">
        <w:rPr>
          <w:rFonts w:ascii="Arial" w:hAnsi="Arial" w:cs="Arial"/>
        </w:rPr>
        <w:t xml:space="preserve">al miglioramento della </w:t>
      </w:r>
      <w:r w:rsidR="00600D98" w:rsidRPr="00F11FF6">
        <w:rPr>
          <w:rFonts w:ascii="Arial" w:hAnsi="Arial" w:cs="Arial"/>
        </w:rPr>
        <w:t xml:space="preserve">gestione </w:t>
      </w:r>
      <w:r w:rsidRPr="00F11FF6">
        <w:rPr>
          <w:rFonts w:ascii="Arial" w:hAnsi="Arial" w:cs="Arial"/>
        </w:rPr>
        <w:t>dei RAEE.</w:t>
      </w:r>
    </w:p>
    <w:p w14:paraId="1B5D547F" w14:textId="49724433" w:rsidR="00536007" w:rsidRPr="00F11FF6" w:rsidRDefault="007A0363" w:rsidP="00536007">
      <w:pPr>
        <w:jc w:val="both"/>
        <w:rPr>
          <w:rFonts w:ascii="Arial" w:hAnsi="Arial" w:cs="Arial"/>
        </w:rPr>
      </w:pPr>
      <w:r w:rsidRPr="00F11FF6">
        <w:rPr>
          <w:rFonts w:ascii="Arial" w:hAnsi="Arial" w:cs="Arial"/>
        </w:rPr>
        <w:t xml:space="preserve">La </w:t>
      </w:r>
      <w:r w:rsidR="00536007" w:rsidRPr="00F11FF6">
        <w:rPr>
          <w:rFonts w:ascii="Arial" w:hAnsi="Arial" w:cs="Arial"/>
          <w:b/>
          <w:bCs/>
        </w:rPr>
        <w:t>Lombardia</w:t>
      </w:r>
      <w:r w:rsidR="00536007" w:rsidRPr="00F11FF6">
        <w:rPr>
          <w:rFonts w:ascii="Arial" w:hAnsi="Arial" w:cs="Arial"/>
        </w:rPr>
        <w:t xml:space="preserve"> è la regione </w:t>
      </w:r>
      <w:r w:rsidRPr="00F11FF6">
        <w:rPr>
          <w:rFonts w:ascii="Arial" w:hAnsi="Arial" w:cs="Arial"/>
        </w:rPr>
        <w:t>in cui Comuni e rivenditori</w:t>
      </w:r>
      <w:r w:rsidR="00536007" w:rsidRPr="00F11FF6">
        <w:rPr>
          <w:rFonts w:ascii="Arial" w:hAnsi="Arial" w:cs="Arial"/>
        </w:rPr>
        <w:t xml:space="preserve"> ha</w:t>
      </w:r>
      <w:r w:rsidRPr="00F11FF6">
        <w:rPr>
          <w:rFonts w:ascii="Arial" w:hAnsi="Arial" w:cs="Arial"/>
        </w:rPr>
        <w:t>nno</w:t>
      </w:r>
      <w:r w:rsidR="00536007" w:rsidRPr="00F11FF6">
        <w:rPr>
          <w:rFonts w:ascii="Arial" w:hAnsi="Arial" w:cs="Arial"/>
        </w:rPr>
        <w:t xml:space="preserve"> ricevuto l’importo complessivo più elevato, pari a </w:t>
      </w:r>
      <w:r w:rsidR="00536007" w:rsidRPr="00F11FF6">
        <w:rPr>
          <w:rFonts w:ascii="Arial" w:hAnsi="Arial" w:cs="Arial"/>
          <w:b/>
          <w:bCs/>
        </w:rPr>
        <w:t>5.127.086 euro</w:t>
      </w:r>
      <w:r w:rsidR="00536007" w:rsidRPr="00F11FF6">
        <w:rPr>
          <w:rFonts w:ascii="Arial" w:hAnsi="Arial" w:cs="Arial"/>
        </w:rPr>
        <w:t xml:space="preserve">. Considerando invece il contributo </w:t>
      </w:r>
      <w:r w:rsidRPr="00F11FF6">
        <w:rPr>
          <w:rFonts w:ascii="Arial" w:hAnsi="Arial" w:cs="Arial"/>
        </w:rPr>
        <w:t xml:space="preserve">medio </w:t>
      </w:r>
      <w:r w:rsidR="00536007" w:rsidRPr="00F11FF6">
        <w:rPr>
          <w:rFonts w:ascii="Arial" w:hAnsi="Arial" w:cs="Arial"/>
        </w:rPr>
        <w:t>per tonnellata raccolta, ai primi posti si collocano</w:t>
      </w:r>
      <w:r w:rsidRPr="00F11FF6">
        <w:rPr>
          <w:rFonts w:ascii="Arial" w:hAnsi="Arial" w:cs="Arial"/>
        </w:rPr>
        <w:t xml:space="preserve"> Comuni e rivenditori della</w:t>
      </w:r>
      <w:r w:rsidR="00536007" w:rsidRPr="00F11FF6">
        <w:rPr>
          <w:rFonts w:ascii="Arial" w:hAnsi="Arial" w:cs="Arial"/>
        </w:rPr>
        <w:t xml:space="preserve"> </w:t>
      </w:r>
      <w:r w:rsidR="00536007" w:rsidRPr="00F11FF6">
        <w:rPr>
          <w:rFonts w:ascii="Arial" w:hAnsi="Arial" w:cs="Arial"/>
          <w:b/>
          <w:bCs/>
        </w:rPr>
        <w:t xml:space="preserve">Liguria (104 </w:t>
      </w:r>
      <w:r w:rsidR="008F62D1" w:rsidRPr="00F11FF6">
        <w:rPr>
          <w:rFonts w:ascii="Arial" w:hAnsi="Arial" w:cs="Arial"/>
          <w:b/>
          <w:bCs/>
        </w:rPr>
        <w:t>€</w:t>
      </w:r>
      <w:r w:rsidR="00536007" w:rsidRPr="00F11FF6">
        <w:rPr>
          <w:rFonts w:ascii="Arial" w:hAnsi="Arial" w:cs="Arial"/>
          <w:b/>
          <w:bCs/>
        </w:rPr>
        <w:t>/ton)</w:t>
      </w:r>
      <w:r w:rsidR="00536007" w:rsidRPr="00F11FF6">
        <w:rPr>
          <w:rFonts w:ascii="Arial" w:hAnsi="Arial" w:cs="Arial"/>
        </w:rPr>
        <w:t xml:space="preserve">, </w:t>
      </w:r>
      <w:r w:rsidRPr="00F11FF6">
        <w:rPr>
          <w:rFonts w:ascii="Arial" w:hAnsi="Arial" w:cs="Arial"/>
        </w:rPr>
        <w:t xml:space="preserve">della </w:t>
      </w:r>
      <w:r w:rsidR="00536007" w:rsidRPr="00F11FF6">
        <w:rPr>
          <w:rFonts w:ascii="Arial" w:hAnsi="Arial" w:cs="Arial"/>
          <w:b/>
          <w:bCs/>
        </w:rPr>
        <w:t xml:space="preserve">Toscana (99 </w:t>
      </w:r>
      <w:r w:rsidR="008F62D1" w:rsidRPr="00F11FF6">
        <w:rPr>
          <w:rFonts w:ascii="Arial" w:hAnsi="Arial" w:cs="Arial"/>
          <w:b/>
          <w:bCs/>
        </w:rPr>
        <w:t>€</w:t>
      </w:r>
      <w:r w:rsidR="00536007" w:rsidRPr="00F11FF6">
        <w:rPr>
          <w:rFonts w:ascii="Arial" w:hAnsi="Arial" w:cs="Arial"/>
          <w:b/>
          <w:bCs/>
        </w:rPr>
        <w:t>/ton)</w:t>
      </w:r>
      <w:r w:rsidR="00536007" w:rsidRPr="00F11FF6">
        <w:rPr>
          <w:rFonts w:ascii="Arial" w:hAnsi="Arial" w:cs="Arial"/>
        </w:rPr>
        <w:t xml:space="preserve"> e</w:t>
      </w:r>
      <w:r w:rsidRPr="00F11FF6">
        <w:rPr>
          <w:rFonts w:ascii="Arial" w:hAnsi="Arial" w:cs="Arial"/>
        </w:rPr>
        <w:t xml:space="preserve"> </w:t>
      </w:r>
      <w:r w:rsidR="00536007" w:rsidRPr="00F11FF6">
        <w:rPr>
          <w:rFonts w:ascii="Arial" w:hAnsi="Arial" w:cs="Arial"/>
        </w:rPr>
        <w:t>d</w:t>
      </w:r>
      <w:r w:rsidRPr="00F11FF6">
        <w:rPr>
          <w:rFonts w:ascii="Arial" w:hAnsi="Arial" w:cs="Arial"/>
        </w:rPr>
        <w:t>ell’</w:t>
      </w:r>
      <w:r w:rsidR="00536007" w:rsidRPr="00F11FF6">
        <w:rPr>
          <w:rFonts w:ascii="Arial" w:hAnsi="Arial" w:cs="Arial"/>
          <w:b/>
          <w:bCs/>
        </w:rPr>
        <w:t xml:space="preserve">Emilia-Romagna (93 </w:t>
      </w:r>
      <w:r w:rsidR="008F62D1" w:rsidRPr="00F11FF6">
        <w:rPr>
          <w:rFonts w:ascii="Arial" w:hAnsi="Arial" w:cs="Arial"/>
          <w:b/>
          <w:bCs/>
        </w:rPr>
        <w:t>€</w:t>
      </w:r>
      <w:r w:rsidR="00536007" w:rsidRPr="00F11FF6">
        <w:rPr>
          <w:rFonts w:ascii="Arial" w:hAnsi="Arial" w:cs="Arial"/>
          <w:b/>
          <w:bCs/>
        </w:rPr>
        <w:t>/ton)</w:t>
      </w:r>
      <w:r w:rsidR="00536007" w:rsidRPr="00F11FF6">
        <w:rPr>
          <w:rFonts w:ascii="Arial" w:hAnsi="Arial" w:cs="Arial"/>
        </w:rPr>
        <w:t>.</w:t>
      </w:r>
      <w:r w:rsidRPr="00F11FF6">
        <w:rPr>
          <w:rFonts w:ascii="Arial" w:hAnsi="Arial" w:cs="Arial"/>
        </w:rPr>
        <w:t xml:space="preserve"> Si tratta di </w:t>
      </w:r>
      <w:r w:rsidR="00536007" w:rsidRPr="00F11FF6">
        <w:rPr>
          <w:rFonts w:ascii="Arial" w:hAnsi="Arial" w:cs="Arial"/>
        </w:rPr>
        <w:t>risorse</w:t>
      </w:r>
      <w:r w:rsidRPr="00F11FF6">
        <w:rPr>
          <w:rFonts w:ascii="Arial" w:hAnsi="Arial" w:cs="Arial"/>
        </w:rPr>
        <w:t xml:space="preserve"> economiche </w:t>
      </w:r>
      <w:r w:rsidR="00536007" w:rsidRPr="00F11FF6">
        <w:rPr>
          <w:rFonts w:ascii="Arial" w:hAnsi="Arial" w:cs="Arial"/>
        </w:rPr>
        <w:t>destinate a crescere grazie ai meccanismi di incentivazione previsti dagli Accordi di programma, con l’obiettivo di rendere il sistema sempre più efficiente e capillare su</w:t>
      </w:r>
      <w:r w:rsidRPr="00F11FF6">
        <w:rPr>
          <w:rFonts w:ascii="Arial" w:hAnsi="Arial" w:cs="Arial"/>
        </w:rPr>
        <w:t xml:space="preserve"> tutto i</w:t>
      </w:r>
      <w:r w:rsidR="00536007" w:rsidRPr="00F11FF6">
        <w:rPr>
          <w:rFonts w:ascii="Arial" w:hAnsi="Arial" w:cs="Arial"/>
        </w:rPr>
        <w:t>l territorio.</w:t>
      </w:r>
    </w:p>
    <w:p w14:paraId="22E4F6DC" w14:textId="77777777" w:rsidR="00536007" w:rsidRDefault="00536007" w:rsidP="00476317">
      <w:pPr>
        <w:jc w:val="both"/>
        <w:rPr>
          <w:rFonts w:ascii="Arial" w:hAnsi="Arial" w:cs="Arial"/>
          <w:color w:val="000000"/>
          <w:sz w:val="20"/>
          <w:szCs w:val="20"/>
        </w:rPr>
      </w:pPr>
    </w:p>
    <w:p w14:paraId="6DB9663C" w14:textId="5EFCC557" w:rsidR="00C36339" w:rsidRPr="00A6521A" w:rsidRDefault="009926E7" w:rsidP="00C36339">
      <w:pPr>
        <w:jc w:val="both"/>
      </w:pPr>
      <w:r w:rsidRPr="00D92B2E">
        <w:rPr>
          <w:rFonts w:ascii="Arial" w:hAnsi="Arial" w:cs="Arial"/>
          <w:i/>
          <w:iCs/>
        </w:rPr>
        <w:t xml:space="preserve">“Il Centro di Coordinamento RAEE, insieme ai Sistemi Collettivi e ai produttori di AEE, è costantemente impegnato in iniziative finalizzate a incrementare, migliorare e rendere più efficiente la raccolta, consapevole del ruolo strategico che essa riveste per lo sviluppo dell’economia circolare”, </w:t>
      </w:r>
      <w:r w:rsidRPr="00D92B2E">
        <w:rPr>
          <w:rFonts w:ascii="Arial" w:hAnsi="Arial" w:cs="Arial"/>
          <w:b/>
          <w:bCs/>
        </w:rPr>
        <w:t>dichiara Giuliano Maddalena, Presidente del Centro di Coordinamento RAEE</w:t>
      </w:r>
      <w:r w:rsidRPr="00D92B2E">
        <w:rPr>
          <w:rFonts w:ascii="Arial" w:hAnsi="Arial" w:cs="Arial"/>
          <w:i/>
          <w:iCs/>
        </w:rPr>
        <w:t xml:space="preserve">. </w:t>
      </w:r>
      <w:r w:rsidR="00C36339">
        <w:rPr>
          <w:rFonts w:ascii="Arial" w:hAnsi="Arial" w:cs="Arial"/>
          <w:i/>
          <w:iCs/>
        </w:rPr>
        <w:t>“</w:t>
      </w:r>
      <w:r w:rsidR="00C36339" w:rsidRPr="00C36339">
        <w:rPr>
          <w:rFonts w:ascii="Arial" w:hAnsi="Arial" w:cs="Arial"/>
          <w:i/>
          <w:iCs/>
        </w:rPr>
        <w:t xml:space="preserve">Per ottenere risultati concreti e duraturi, è però indispensabile uno sforzo condiviso lungo l’intera filiera e un confronto continuo con le Istituzioni. Proprio in questa direzione, il CdC RAEE ha avviato e prosegue un dialogo costruttivo con le Istituzioni, con l’obiettivo di superare quei limiti normativi che oggi non consentono l’attivazione della raccolta presso strutture capillari e fortemente frequentate, che invece potrebbero diventare punti di raccolta sui tragitti abituali delle persone. Allo stesso tempo, il Centro di </w:t>
      </w:r>
      <w:r w:rsidR="00C36339" w:rsidRPr="00C36339">
        <w:rPr>
          <w:rFonts w:ascii="Arial" w:hAnsi="Arial" w:cs="Arial"/>
          <w:i/>
          <w:iCs/>
        </w:rPr>
        <w:lastRenderedPageBreak/>
        <w:t>Coordinamento è determinato ad attenzionare le situazioni territoriali in cui la raccolta è assente o in forte calo, per comprenderne le cause ed eventualmente attivare forme di supporto tecnico e informativo nonché di segnalazione ai soggetti coinvolti, con l’obiettivo di favorire una crescita più equilibrata e stabile su tutto il territorio nazionale</w:t>
      </w:r>
      <w:r w:rsidR="00C36339">
        <w:rPr>
          <w:rFonts w:ascii="Arial" w:hAnsi="Arial" w:cs="Arial"/>
          <w:i/>
          <w:iCs/>
        </w:rPr>
        <w:t>”</w:t>
      </w:r>
      <w:r w:rsidR="00C36339" w:rsidRPr="00C36339">
        <w:rPr>
          <w:rFonts w:ascii="Arial" w:hAnsi="Arial" w:cs="Arial"/>
          <w:i/>
          <w:iCs/>
        </w:rPr>
        <w:t>.</w:t>
      </w:r>
      <w:r w:rsidR="00C36339">
        <w:t xml:space="preserve"> </w:t>
      </w:r>
    </w:p>
    <w:p w14:paraId="1004BE6C" w14:textId="0DD20DA0" w:rsidR="00F1547E" w:rsidRPr="00D92B2E" w:rsidRDefault="00F1547E" w:rsidP="00F1547E">
      <w:pPr>
        <w:jc w:val="both"/>
        <w:rPr>
          <w:rFonts w:ascii="Arial" w:hAnsi="Arial" w:cs="Arial"/>
          <w:b/>
          <w:bCs/>
        </w:rPr>
      </w:pPr>
      <w:r w:rsidRPr="00D92B2E">
        <w:rPr>
          <w:rFonts w:ascii="Arial" w:hAnsi="Arial" w:cs="Arial"/>
          <w:i/>
          <w:iCs/>
        </w:rPr>
        <w:t>“Anche nel corso di quest’anno, accanto a Comuni e distributori, il CdC RAEE continuerà a dedicare particolare attenzione anche a enti e aziende che generano quantitativi significativi di RAEE dual use e che possono trovare nel sistema RAEE un canale strutturato e tracciato di gestione”,</w:t>
      </w:r>
      <w:r w:rsidRPr="00D92B2E">
        <w:rPr>
          <w:rFonts w:ascii="Arial" w:hAnsi="Arial" w:cs="Arial"/>
        </w:rPr>
        <w:t xml:space="preserve"> </w:t>
      </w:r>
      <w:r w:rsidRPr="00D92B2E">
        <w:rPr>
          <w:rFonts w:ascii="Arial" w:hAnsi="Arial" w:cs="Arial"/>
          <w:b/>
          <w:bCs/>
        </w:rPr>
        <w:t>conclude il Presidente del CdC RAEE.</w:t>
      </w:r>
    </w:p>
    <w:p w14:paraId="252072F0" w14:textId="77777777" w:rsidR="00397CEB" w:rsidRDefault="00397CEB" w:rsidP="00DC61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outlineLvl w:val="0"/>
        <w:rPr>
          <w:rFonts w:ascii="Arial" w:hAnsi="Arial" w:cs="Arial"/>
        </w:rPr>
      </w:pPr>
    </w:p>
    <w:p w14:paraId="08835680" w14:textId="322BD7C0" w:rsidR="001645A4" w:rsidRDefault="00DC613A" w:rsidP="001645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pPr>
      <w:r>
        <w:rPr>
          <w:rStyle w:val="NessunoA"/>
          <w:rFonts w:ascii="Arial" w:hAnsi="Arial" w:cs="Arial"/>
          <w:u w:color="3B3838"/>
        </w:rPr>
        <w:t xml:space="preserve">Il </w:t>
      </w:r>
      <w:r w:rsidR="00D14D4A" w:rsidRPr="00064461">
        <w:rPr>
          <w:rStyle w:val="NessunoA"/>
          <w:rFonts w:ascii="Arial" w:hAnsi="Arial" w:cs="Arial"/>
          <w:b/>
          <w:bCs/>
          <w:u w:color="3B3838"/>
        </w:rPr>
        <w:t>Rapporto Annuale</w:t>
      </w:r>
      <w:r w:rsidR="007A0363">
        <w:rPr>
          <w:rStyle w:val="NessunoA"/>
          <w:rFonts w:ascii="Arial" w:hAnsi="Arial" w:cs="Arial"/>
          <w:b/>
          <w:bCs/>
          <w:u w:color="3B3838"/>
        </w:rPr>
        <w:t xml:space="preserve">, tutti i dati di dettaglio della raccolta di RAEE in Italia </w:t>
      </w:r>
      <w:r>
        <w:rPr>
          <w:rStyle w:val="NessunoA"/>
          <w:rFonts w:ascii="Arial" w:hAnsi="Arial" w:cs="Arial"/>
          <w:u w:color="3B3838"/>
        </w:rPr>
        <w:t xml:space="preserve">e la </w:t>
      </w:r>
      <w:r w:rsidRPr="007A0363">
        <w:rPr>
          <w:rStyle w:val="NessunoA"/>
          <w:rFonts w:ascii="Arial" w:hAnsi="Arial" w:cs="Arial"/>
          <w:b/>
          <w:bCs/>
          <w:u w:color="3B3838"/>
        </w:rPr>
        <w:t xml:space="preserve">cartella stampa </w:t>
      </w:r>
      <w:r>
        <w:rPr>
          <w:rStyle w:val="NessunoA"/>
          <w:rFonts w:ascii="Arial" w:hAnsi="Arial" w:cs="Arial"/>
          <w:u w:color="3B3838"/>
        </w:rPr>
        <w:t>sono s</w:t>
      </w:r>
      <w:r w:rsidR="007E61CE">
        <w:rPr>
          <w:rStyle w:val="NessunoA"/>
          <w:rFonts w:ascii="Arial" w:hAnsi="Arial" w:cs="Arial"/>
          <w:u w:color="3B3838"/>
        </w:rPr>
        <w:t>caricabil</w:t>
      </w:r>
      <w:r>
        <w:rPr>
          <w:rStyle w:val="NessunoA"/>
          <w:rFonts w:ascii="Arial" w:hAnsi="Arial" w:cs="Arial"/>
          <w:u w:color="3B3838"/>
        </w:rPr>
        <w:t>i</w:t>
      </w:r>
      <w:r w:rsidR="007E61CE">
        <w:rPr>
          <w:rStyle w:val="NessunoA"/>
          <w:rFonts w:ascii="Arial" w:hAnsi="Arial" w:cs="Arial"/>
          <w:u w:color="3B3838"/>
        </w:rPr>
        <w:t xml:space="preserve"> </w:t>
      </w:r>
      <w:r w:rsidR="007E61CE" w:rsidRPr="007A0363">
        <w:rPr>
          <w:rStyle w:val="NessunoA"/>
          <w:rFonts w:ascii="Arial" w:hAnsi="Arial" w:cs="Arial"/>
          <w:u w:color="3B3838"/>
        </w:rPr>
        <w:t>in</w:t>
      </w:r>
      <w:r w:rsidR="00D14D4A" w:rsidRPr="007A0363">
        <w:rPr>
          <w:rStyle w:val="NessunoA"/>
          <w:rFonts w:ascii="Arial" w:hAnsi="Arial" w:cs="Arial"/>
          <w:u w:color="3B3838"/>
        </w:rPr>
        <w:t xml:space="preserve"> versione digitale</w:t>
      </w:r>
      <w:r w:rsidR="00DF37B9" w:rsidRPr="007A0363">
        <w:rPr>
          <w:rStyle w:val="NessunoA"/>
          <w:rFonts w:ascii="Arial" w:hAnsi="Arial" w:cs="Arial"/>
          <w:u w:color="3B3838"/>
        </w:rPr>
        <w:t xml:space="preserve"> sul </w:t>
      </w:r>
      <w:r w:rsidR="00D14D4A" w:rsidRPr="007A0363">
        <w:rPr>
          <w:rStyle w:val="NessunoA"/>
          <w:rFonts w:ascii="Arial" w:hAnsi="Arial" w:cs="Arial"/>
          <w:u w:color="3B3838"/>
        </w:rPr>
        <w:t xml:space="preserve">sito </w:t>
      </w:r>
      <w:r w:rsidR="00DF37B9" w:rsidRPr="007A0363">
        <w:rPr>
          <w:rStyle w:val="NessunoA"/>
          <w:rFonts w:ascii="Arial" w:hAnsi="Arial" w:cs="Arial"/>
          <w:u w:color="3B3838"/>
        </w:rPr>
        <w:t>del Centro di Coordinamento RAEE</w:t>
      </w:r>
      <w:r w:rsidR="00DF37B9" w:rsidRPr="00064461">
        <w:rPr>
          <w:rStyle w:val="NessunoA"/>
          <w:rFonts w:ascii="Arial" w:hAnsi="Arial" w:cs="Arial"/>
          <w:b/>
          <w:bCs/>
          <w:u w:color="3B3838"/>
        </w:rPr>
        <w:t xml:space="preserve"> </w:t>
      </w:r>
      <w:r w:rsidR="001645A4">
        <w:rPr>
          <w:rStyle w:val="NessunoA"/>
          <w:rFonts w:ascii="Arial" w:hAnsi="Arial" w:cs="Arial"/>
          <w:u w:color="3B3838"/>
        </w:rPr>
        <w:t xml:space="preserve">a questo link: </w:t>
      </w:r>
      <w:hyperlink r:id="rId10" w:tooltip="URL originale: https://www.cdcraee.it/rapporti-raee/rapporto-annuale-2025/. Fare clic o toccare se si considera attendibile questo collegamento." w:history="1">
        <w:r w:rsidR="00C84331" w:rsidRPr="00C84331">
          <w:rPr>
            <w:rStyle w:val="Collegamentoipertestuale"/>
            <w:rFonts w:ascii="Arial" w:hAnsi="Arial" w:cs="Arial"/>
          </w:rPr>
          <w:t>https://www.cdcraee.it/rapporti-raee/rapporto-annuale-2025/</w:t>
        </w:r>
      </w:hyperlink>
    </w:p>
    <w:p w14:paraId="69E4FE4B" w14:textId="77777777" w:rsidR="00D92B2E" w:rsidRDefault="00D92B2E" w:rsidP="001645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rPr>
          <w:rFonts w:ascii="Arial" w:hAnsi="Arial" w:cs="Arial"/>
          <w:color w:val="000000" w:themeColor="text1"/>
        </w:rPr>
      </w:pPr>
    </w:p>
    <w:p w14:paraId="41625858" w14:textId="77777777" w:rsidR="008F62D1" w:rsidRDefault="008F62D1" w:rsidP="001645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rPr>
          <w:rFonts w:ascii="Arial" w:hAnsi="Arial" w:cs="Arial"/>
          <w:color w:val="000000" w:themeColor="text1"/>
        </w:rPr>
      </w:pPr>
    </w:p>
    <w:p w14:paraId="79A51E29" w14:textId="78807A06" w:rsidR="001645A4" w:rsidRPr="00C84331" w:rsidRDefault="00C84331" w:rsidP="00C843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rPr>
          <w:rFonts w:ascii="Arial" w:hAnsi="Arial" w:cs="Arial"/>
          <w:color w:val="000000" w:themeColor="text1"/>
        </w:rPr>
      </w:pPr>
      <w:r>
        <w:rPr>
          <w:rFonts w:ascii="Arial" w:hAnsi="Arial" w:cs="Arial"/>
          <w:color w:val="000000" w:themeColor="text1"/>
        </w:rPr>
        <w:t xml:space="preserve">In allegato le tabelle con i principali dati nazionali. </w:t>
      </w:r>
    </w:p>
    <w:p w14:paraId="24E54626" w14:textId="77777777" w:rsidR="00DC613A" w:rsidRDefault="00DC613A" w:rsidP="00DC613A">
      <w:pPr>
        <w:rPr>
          <w:rFonts w:ascii="Arial" w:hAnsi="Arial" w:cs="Arial"/>
          <w:color w:val="000000" w:themeColor="text1"/>
        </w:rPr>
      </w:pPr>
    </w:p>
    <w:p w14:paraId="4D1CED59" w14:textId="77777777" w:rsidR="001645A4" w:rsidRDefault="001645A4" w:rsidP="00C055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rPr>
          <w:rStyle w:val="NessunoA"/>
          <w:rFonts w:ascii="Arial" w:hAnsi="Arial" w:cs="Arial"/>
          <w:b/>
          <w:bCs/>
          <w:color w:val="3B3838"/>
          <w:sz w:val="20"/>
          <w:szCs w:val="20"/>
          <w:u w:val="single" w:color="3B3838"/>
        </w:rPr>
      </w:pPr>
    </w:p>
    <w:p w14:paraId="104C0FD3" w14:textId="77777777" w:rsidR="001645A4" w:rsidRDefault="001645A4" w:rsidP="00C055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rPr>
          <w:rStyle w:val="NessunoA"/>
          <w:rFonts w:ascii="Arial" w:hAnsi="Arial" w:cs="Arial"/>
          <w:b/>
          <w:bCs/>
          <w:color w:val="3B3838"/>
          <w:sz w:val="20"/>
          <w:szCs w:val="20"/>
          <w:u w:val="single" w:color="3B3838"/>
        </w:rPr>
      </w:pPr>
    </w:p>
    <w:p w14:paraId="59B3737D" w14:textId="38227340" w:rsidR="00F04C43" w:rsidRPr="001645A4" w:rsidRDefault="0044474C" w:rsidP="001645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rPr>
          <w:rStyle w:val="NessunoA"/>
          <w:rFonts w:ascii="Arial" w:hAnsi="Arial" w:cs="Arial"/>
          <w:b/>
          <w:bCs/>
          <w:color w:val="3B3838"/>
          <w:sz w:val="20"/>
          <w:szCs w:val="20"/>
          <w:u w:val="single" w:color="3B3838"/>
        </w:rPr>
      </w:pPr>
      <w:r w:rsidRPr="00505B6C">
        <w:rPr>
          <w:rStyle w:val="NessunoA"/>
          <w:rFonts w:ascii="Arial" w:hAnsi="Arial" w:cs="Arial"/>
          <w:b/>
          <w:bCs/>
          <w:color w:val="3B3838"/>
          <w:sz w:val="20"/>
          <w:szCs w:val="20"/>
          <w:u w:val="single" w:color="3B3838"/>
        </w:rPr>
        <w:t xml:space="preserve">Centro di Coordinamento RAEE </w:t>
      </w:r>
    </w:p>
    <w:p w14:paraId="5583A4B7" w14:textId="77777777" w:rsidR="00C84094" w:rsidRPr="00C84094" w:rsidRDefault="00C84094" w:rsidP="00C840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spacing w:line="276" w:lineRule="auto"/>
        <w:jc w:val="both"/>
        <w:rPr>
          <w:rFonts w:ascii="Arial" w:hAnsi="Arial" w:cs="Arial"/>
          <w:color w:val="3B3838"/>
          <w:sz w:val="20"/>
          <w:szCs w:val="20"/>
          <w:u w:color="3B3838"/>
        </w:rPr>
      </w:pPr>
      <w:r w:rsidRPr="00C84094">
        <w:rPr>
          <w:rFonts w:ascii="Arial" w:hAnsi="Arial" w:cs="Arial"/>
          <w:color w:val="3B3838"/>
          <w:sz w:val="20"/>
          <w:szCs w:val="20"/>
          <w:u w:color="3B3838"/>
        </w:rPr>
        <w:t>Il Centro di Coordinamento RAEE è il consorzio privato costituito dai Sistemi Collettivi dei produttori di Apparecchiature Elettriche ed Elettroniche (AEE), in attuazione di quanto previsto dal Decreto Legislativo 14 marzo 2014, n. 49. Opera sotto la supervisione del Ministero dell’Ambiente e della Sicurezza Energetica e del Ministero delle Imprese e del Made in Italy.</w:t>
      </w:r>
    </w:p>
    <w:p w14:paraId="7B524586" w14:textId="174465E2" w:rsidR="00C84094" w:rsidRPr="00C84094" w:rsidRDefault="00C84094" w:rsidP="00C840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spacing w:line="276" w:lineRule="auto"/>
        <w:jc w:val="both"/>
        <w:rPr>
          <w:rFonts w:ascii="Arial" w:hAnsi="Arial" w:cs="Arial"/>
          <w:color w:val="3B3838"/>
          <w:sz w:val="20"/>
          <w:szCs w:val="20"/>
          <w:u w:color="3B3838"/>
        </w:rPr>
      </w:pPr>
      <w:r w:rsidRPr="00C84094">
        <w:rPr>
          <w:rFonts w:ascii="Arial" w:hAnsi="Arial" w:cs="Arial"/>
          <w:color w:val="3B3838"/>
          <w:sz w:val="20"/>
          <w:szCs w:val="20"/>
          <w:u w:color="3B3838"/>
        </w:rPr>
        <w:t xml:space="preserve">La sua missione è garantire una gestione efficace, uniforme e trasparente dei RAEE domestici provenienti dalla raccolta differenziata sull’intero territorio nazionale. A tal fine assicura condizioni operative omogenee tra i Sistemi Collettivi, definisce i criteri di assegnazione dei siti di raccolta e promuove </w:t>
      </w:r>
      <w:r>
        <w:rPr>
          <w:rFonts w:ascii="Arial" w:hAnsi="Arial" w:cs="Arial"/>
          <w:color w:val="3B3838"/>
          <w:sz w:val="20"/>
          <w:szCs w:val="20"/>
          <w:u w:color="3B3838"/>
        </w:rPr>
        <w:t>azioni finalizzate a</w:t>
      </w:r>
      <w:r w:rsidRPr="00C84094">
        <w:rPr>
          <w:rFonts w:ascii="Arial" w:hAnsi="Arial" w:cs="Arial"/>
          <w:color w:val="3B3838"/>
          <w:sz w:val="20"/>
          <w:szCs w:val="20"/>
          <w:u w:color="3B3838"/>
        </w:rPr>
        <w:t xml:space="preserve">l progressivo incremento dei quantitativi di RAEE </w:t>
      </w:r>
      <w:r>
        <w:rPr>
          <w:rFonts w:ascii="Arial" w:hAnsi="Arial" w:cs="Arial"/>
          <w:color w:val="3B3838"/>
          <w:sz w:val="20"/>
          <w:szCs w:val="20"/>
          <w:u w:color="3B3838"/>
        </w:rPr>
        <w:t>raccolti e avviati a riciclo.</w:t>
      </w:r>
    </w:p>
    <w:p w14:paraId="0D260D60" w14:textId="77777777" w:rsidR="00C84094" w:rsidRPr="00F04C43" w:rsidRDefault="00C84094" w:rsidP="00F04C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spacing w:line="276" w:lineRule="auto"/>
        <w:jc w:val="both"/>
        <w:rPr>
          <w:rFonts w:ascii="Arial" w:hAnsi="Arial" w:cs="Arial"/>
          <w:color w:val="3B3838"/>
          <w:sz w:val="20"/>
          <w:szCs w:val="20"/>
          <w:u w:color="3B3838"/>
        </w:rPr>
      </w:pPr>
    </w:p>
    <w:p w14:paraId="17C96AD2" w14:textId="77777777" w:rsidR="0044474C" w:rsidRPr="00064461" w:rsidRDefault="0044474C" w:rsidP="00C055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rPr>
          <w:rStyle w:val="NessunoA"/>
          <w:rFonts w:ascii="Arial" w:eastAsia="Arial" w:hAnsi="Arial" w:cs="Arial"/>
          <w:u w:color="3B3838"/>
        </w:rPr>
      </w:pPr>
    </w:p>
    <w:p w14:paraId="2513C272" w14:textId="77777777" w:rsidR="0044474C" w:rsidRPr="00160F5D" w:rsidRDefault="0044474C" w:rsidP="00C055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rPr>
          <w:rStyle w:val="NessunoA"/>
          <w:rFonts w:ascii="Arial" w:hAnsi="Arial" w:cs="Arial"/>
          <w:b/>
          <w:bCs/>
          <w:sz w:val="20"/>
          <w:szCs w:val="20"/>
          <w:u w:val="single" w:color="3B3838"/>
        </w:rPr>
      </w:pPr>
      <w:r w:rsidRPr="00160F5D">
        <w:rPr>
          <w:rStyle w:val="NessunoA"/>
          <w:rFonts w:ascii="Arial" w:hAnsi="Arial" w:cs="Arial"/>
          <w:b/>
          <w:bCs/>
          <w:sz w:val="20"/>
          <w:szCs w:val="20"/>
          <w:u w:val="single" w:color="3B3838"/>
        </w:rPr>
        <w:t>Per maggiori informazioni:</w:t>
      </w:r>
    </w:p>
    <w:p w14:paraId="0217662F" w14:textId="77777777" w:rsidR="0044474C" w:rsidRPr="00160F5D" w:rsidRDefault="0044474C" w:rsidP="00C055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rPr>
          <w:rStyle w:val="NessunoA"/>
          <w:rFonts w:ascii="Arial" w:hAnsi="Arial" w:cs="Arial"/>
          <w:b/>
          <w:bCs/>
          <w:sz w:val="20"/>
          <w:szCs w:val="20"/>
          <w:u w:color="3B3838"/>
        </w:rPr>
      </w:pPr>
      <w:r w:rsidRPr="00160F5D">
        <w:rPr>
          <w:rStyle w:val="NessunoA"/>
          <w:rFonts w:ascii="Arial" w:hAnsi="Arial" w:cs="Arial"/>
          <w:b/>
          <w:bCs/>
          <w:sz w:val="20"/>
          <w:szCs w:val="20"/>
          <w:u w:color="3B3838"/>
        </w:rPr>
        <w:t>Ufficio Stampa Centro di Coordinamento RAEE</w:t>
      </w:r>
    </w:p>
    <w:p w14:paraId="1C9332E1" w14:textId="2C6905A9" w:rsidR="009E1699" w:rsidRPr="00FF1375" w:rsidRDefault="00F04C43" w:rsidP="00FF13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rPr>
          <w:rStyle w:val="NessunoA"/>
          <w:rFonts w:ascii="Arial" w:hAnsi="Arial" w:cs="Arial"/>
          <w:sz w:val="20"/>
          <w:szCs w:val="20"/>
          <w:u w:color="3B3838"/>
        </w:rPr>
      </w:pPr>
      <w:r w:rsidRPr="00F04C43">
        <w:rPr>
          <w:rStyle w:val="NessunoA"/>
          <w:rFonts w:ascii="Arial" w:hAnsi="Arial" w:cs="Arial"/>
          <w:b/>
          <w:bCs/>
          <w:sz w:val="20"/>
          <w:szCs w:val="20"/>
          <w:u w:color="3B3838"/>
        </w:rPr>
        <w:t xml:space="preserve">Federica </w:t>
      </w:r>
      <w:r>
        <w:rPr>
          <w:rStyle w:val="NessunoA"/>
          <w:rFonts w:ascii="Arial" w:hAnsi="Arial" w:cs="Arial"/>
          <w:b/>
          <w:bCs/>
          <w:sz w:val="20"/>
          <w:szCs w:val="20"/>
          <w:u w:color="3B3838"/>
        </w:rPr>
        <w:t>Porta</w:t>
      </w:r>
      <w:r w:rsidR="0044474C" w:rsidRPr="00F04C43">
        <w:rPr>
          <w:rStyle w:val="NessunoA"/>
          <w:rFonts w:ascii="Arial" w:hAnsi="Arial" w:cs="Arial"/>
          <w:b/>
          <w:bCs/>
          <w:sz w:val="20"/>
          <w:szCs w:val="20"/>
          <w:u w:color="3B3838"/>
        </w:rPr>
        <w:t xml:space="preserve"> - </w:t>
      </w:r>
      <w:hyperlink r:id="rId11" w:history="1">
        <w:r w:rsidR="0044474C" w:rsidRPr="00F04C43">
          <w:rPr>
            <w:rStyle w:val="Hyperlink0"/>
            <w:rFonts w:ascii="Arial" w:hAnsi="Arial" w:cs="Arial"/>
            <w:sz w:val="20"/>
            <w:szCs w:val="20"/>
            <w:lang w:val="it-IT"/>
          </w:rPr>
          <w:t>ufficiostampa@cdcraee.it</w:t>
        </w:r>
      </w:hyperlink>
      <w:r w:rsidR="0044474C" w:rsidRPr="00F04C43">
        <w:rPr>
          <w:rStyle w:val="NessunoA"/>
          <w:rFonts w:ascii="Arial" w:hAnsi="Arial" w:cs="Arial"/>
          <w:sz w:val="20"/>
          <w:szCs w:val="20"/>
          <w:u w:color="3B3838"/>
        </w:rPr>
        <w:t xml:space="preserve"> </w:t>
      </w:r>
      <w:r w:rsidR="009453B8" w:rsidRPr="00F04C43">
        <w:rPr>
          <w:rStyle w:val="NessunoA"/>
          <w:rFonts w:ascii="Arial" w:hAnsi="Arial" w:cs="Arial"/>
          <w:sz w:val="20"/>
          <w:szCs w:val="20"/>
          <w:u w:color="3B3838"/>
        </w:rPr>
        <w:t xml:space="preserve">- </w:t>
      </w:r>
      <w:proofErr w:type="spellStart"/>
      <w:r w:rsidR="0044474C" w:rsidRPr="00F04C43">
        <w:rPr>
          <w:rStyle w:val="NessunoA"/>
          <w:rFonts w:ascii="Arial" w:hAnsi="Arial" w:cs="Arial"/>
          <w:sz w:val="20"/>
          <w:szCs w:val="20"/>
          <w:u w:color="3B3838"/>
        </w:rPr>
        <w:t>cell</w:t>
      </w:r>
      <w:proofErr w:type="spellEnd"/>
      <w:r w:rsidR="0044474C" w:rsidRPr="00F04C43">
        <w:rPr>
          <w:rStyle w:val="NessunoA"/>
          <w:rFonts w:ascii="Arial" w:hAnsi="Arial" w:cs="Arial"/>
          <w:sz w:val="20"/>
          <w:szCs w:val="20"/>
          <w:u w:color="3B3838"/>
        </w:rPr>
        <w:t xml:space="preserve">. </w:t>
      </w:r>
      <w:r w:rsidRPr="00F04C43">
        <w:rPr>
          <w:rFonts w:ascii="Arial" w:hAnsi="Arial" w:cs="Arial"/>
          <w:sz w:val="20"/>
          <w:szCs w:val="20"/>
          <w:u w:color="3B3838"/>
        </w:rPr>
        <w:t>339 4698487</w:t>
      </w:r>
    </w:p>
    <w:p w14:paraId="1211372C" w14:textId="77777777" w:rsidR="009E1699" w:rsidRPr="00F04C43" w:rsidRDefault="009E1699" w:rsidP="00C055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both"/>
        <w:rPr>
          <w:rFonts w:ascii="Arial" w:hAnsi="Arial" w:cs="Arial"/>
          <w:sz w:val="20"/>
          <w:szCs w:val="20"/>
          <w:lang w:val="en-GB"/>
        </w:rPr>
      </w:pPr>
    </w:p>
    <w:sectPr w:rsidR="009E1699" w:rsidRPr="00F04C43" w:rsidSect="00A515F6">
      <w:headerReference w:type="default" r:id="rId12"/>
      <w:pgSz w:w="11900" w:h="16840"/>
      <w:pgMar w:top="1440" w:right="1080" w:bottom="1440" w:left="108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C1D09" w14:textId="77777777" w:rsidR="00EC4B2D" w:rsidRDefault="00EC4B2D">
      <w:r>
        <w:separator/>
      </w:r>
    </w:p>
  </w:endnote>
  <w:endnote w:type="continuationSeparator" w:id="0">
    <w:p w14:paraId="238F5C73" w14:textId="77777777" w:rsidR="00EC4B2D" w:rsidRDefault="00EC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0FB69" w14:textId="77777777" w:rsidR="00EC4B2D" w:rsidRDefault="00EC4B2D">
      <w:r>
        <w:separator/>
      </w:r>
    </w:p>
  </w:footnote>
  <w:footnote w:type="continuationSeparator" w:id="0">
    <w:p w14:paraId="67BF83C9" w14:textId="77777777" w:rsidR="00EC4B2D" w:rsidRDefault="00EC4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5DEF" w14:textId="77777777" w:rsidR="00FA0082" w:rsidRDefault="006D682B">
    <w:pPr>
      <w:pStyle w:val="Intestazione"/>
    </w:pPr>
    <w:r>
      <w:rPr>
        <w:noProof/>
      </w:rPr>
      <mc:AlternateContent>
        <mc:Choice Requires="wpg">
          <w:drawing>
            <wp:anchor distT="152400" distB="152400" distL="152400" distR="152400" simplePos="0" relativeHeight="251659264" behindDoc="1" locked="0" layoutInCell="1" allowOverlap="1" wp14:anchorId="6BE5D8B5" wp14:editId="6BB78A8B">
              <wp:simplePos x="0" y="0"/>
              <wp:positionH relativeFrom="page">
                <wp:posOffset>4403725</wp:posOffset>
              </wp:positionH>
              <wp:positionV relativeFrom="page">
                <wp:posOffset>718184</wp:posOffset>
              </wp:positionV>
              <wp:extent cx="2658121" cy="385457"/>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2658121" cy="385457"/>
                        <a:chOff x="-1" y="0"/>
                        <a:chExt cx="2658120" cy="385456"/>
                      </a:xfrm>
                    </wpg:grpSpPr>
                    <wps:wsp>
                      <wps:cNvPr id="1073741826" name="Shape 1073741826"/>
                      <wps:cNvSpPr/>
                      <wps:spPr>
                        <a:xfrm>
                          <a:off x="-2" y="-1"/>
                          <a:ext cx="2658121" cy="385458"/>
                        </a:xfrm>
                        <a:prstGeom prst="rect">
                          <a:avLst/>
                        </a:prstGeom>
                        <a:solidFill>
                          <a:srgbClr val="FFFFFF"/>
                        </a:solidFill>
                        <a:ln w="9525" cap="flat">
                          <a:solidFill>
                            <a:srgbClr val="FFFFFF"/>
                          </a:solidFill>
                          <a:prstDash val="solid"/>
                          <a:miter lim="800000"/>
                        </a:ln>
                        <a:effectLst/>
                      </wps:spPr>
                      <wps:bodyPr/>
                    </wps:wsp>
                    <wps:wsp>
                      <wps:cNvPr id="1073741827" name="Shape 1073741827"/>
                      <wps:cNvSpPr/>
                      <wps:spPr>
                        <a:xfrm>
                          <a:off x="-2" y="-1"/>
                          <a:ext cx="2658121" cy="385458"/>
                        </a:xfrm>
                        <a:prstGeom prst="rect">
                          <a:avLst/>
                        </a:prstGeom>
                        <a:noFill/>
                        <a:ln w="12700" cap="flat">
                          <a:noFill/>
                          <a:miter lim="400000"/>
                        </a:ln>
                        <a:effectLst/>
                      </wps:spPr>
                      <wps:txbx>
                        <w:txbxContent>
                          <w:p w14:paraId="66233864" w14:textId="77777777" w:rsidR="00FA0082" w:rsidRDefault="006D682B">
                            <w:pPr>
                              <w:jc w:val="right"/>
                            </w:pPr>
                            <w:r>
                              <w:rPr>
                                <w:rStyle w:val="NessunoA"/>
                                <w:rFonts w:ascii="Verdana" w:hAnsi="Verdana"/>
                                <w:color w:val="3B3838"/>
                                <w:u w:color="3B3838"/>
                              </w:rPr>
                              <w:t>COMUNICATO STAMPA</w:t>
                            </w:r>
                            <w:r>
                              <w:t xml:space="preserve"> </w:t>
                            </w:r>
                          </w:p>
                        </w:txbxContent>
                      </wps:txbx>
                      <wps:bodyPr wrap="square" lIns="45718" tIns="45718" rIns="45718" bIns="45718" numCol="1" anchor="t">
                        <a:noAutofit/>
                      </wps:bodyPr>
                    </wps:wsp>
                  </wpg:wgp>
                </a:graphicData>
              </a:graphic>
            </wp:anchor>
          </w:drawing>
        </mc:Choice>
        <mc:Fallback>
          <w:pict>
            <v:group w14:anchorId="6BE5D8B5" id="officeArt object" o:spid="_x0000_s1026" style="position:absolute;margin-left:346.75pt;margin-top:56.55pt;width:209.3pt;height:30.35pt;z-index:-251657216;mso-wrap-distance-left:12pt;mso-wrap-distance-top:12pt;mso-wrap-distance-right:12pt;mso-wrap-distance-bottom:12pt;mso-position-horizontal-relative:page;mso-position-vertical-relative:page" coordorigin="" coordsize="26581,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">
              <v:rect id="Shape 1073741826" o:spid="_x0000_s1027" style="position:absolute;width:26581;height: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" strokecolor="white"/>
              <v:rect id="Shape 1073741827" o:spid="_x0000_s1028" style="position:absolute;width:26581;height: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" filled="f" stroked="f" strokeweight="1pt">
                <v:stroke miterlimit="4"/>
                <v:textbox inset="1.2699mm,1.2699mm,1.2699mm,1.2699mm">
                  <w:txbxContent>
                    <w:p w14:paraId="66233864" w14:textId="77777777" w:rsidR="00FA0082" w:rsidRDefault="006D682B">
                      <w:pPr>
                        <w:jc w:val="right"/>
                      </w:pPr>
                      <w:r>
                        <w:rPr>
                          <w:rStyle w:val="NessunoA"/>
                          <w:rFonts w:ascii="Verdana" w:hAnsi="Verdana"/>
                          <w:color w:val="3B3838"/>
                          <w:u w:color="3B3838"/>
                        </w:rPr>
                        <w:t>COMUNICATO STAMPA</w:t>
                      </w:r>
                      <w:r>
                        <w:t xml:space="preserve"> </w:t>
                      </w:r>
                    </w:p>
                  </w:txbxContent>
                </v:textbox>
              </v:rect>
              <w10:wrap anchorx="page" anchory="page"/>
            </v:group>
          </w:pict>
        </mc:Fallback>
      </mc:AlternateContent>
    </w:r>
    <w:r>
      <w:rPr>
        <w:noProof/>
      </w:rPr>
      <w:drawing>
        <wp:inline distT="0" distB="0" distL="0" distR="0" wp14:anchorId="7B4ADAD2" wp14:editId="01B9B2E3">
          <wp:extent cx="2428876" cy="8763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rcRect l="5555"/>
                  <a:stretch>
                    <a:fillRect/>
                  </a:stretch>
                </pic:blipFill>
                <pic:spPr>
                  <a:xfrm>
                    <a:off x="0" y="0"/>
                    <a:ext cx="2428876" cy="876300"/>
                  </a:xfrm>
                  <a:prstGeom prst="rect">
                    <a:avLst/>
                  </a:prstGeom>
                  <a:ln w="12700" cap="flat">
                    <a:noFill/>
                    <a:miter lim="400000"/>
                  </a:ln>
                  <a:effectLst/>
                </pic:spPr>
              </pic:pic>
            </a:graphicData>
          </a:graphic>
        </wp:inline>
      </w:drawing>
    </w:r>
  </w:p>
  <w:p w14:paraId="2F926787" w14:textId="77777777" w:rsidR="00FA0082" w:rsidRDefault="00FA0082">
    <w:pPr>
      <w:pStyle w:val="Intestazione"/>
    </w:pPr>
  </w:p>
  <w:p w14:paraId="1E9A6762" w14:textId="77777777" w:rsidR="00FA0082" w:rsidRDefault="006D682B">
    <w:pPr>
      <w:pStyle w:val="Intestazione"/>
    </w:pPr>
    <w:r>
      <w:tab/>
    </w:r>
  </w:p>
  <w:p w14:paraId="247CDD11" w14:textId="77777777" w:rsidR="00FA0082" w:rsidRDefault="006D682B">
    <w:pPr>
      <w:pStyle w:val="Intestazione"/>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4A1C"/>
    <w:multiLevelType w:val="multilevel"/>
    <w:tmpl w:val="99D8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4E7D1C"/>
    <w:multiLevelType w:val="hybridMultilevel"/>
    <w:tmpl w:val="480ED818"/>
    <w:lvl w:ilvl="0" w:tplc="9F9007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865FF6"/>
    <w:multiLevelType w:val="hybridMultilevel"/>
    <w:tmpl w:val="63981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1296551">
    <w:abstractNumId w:val="0"/>
  </w:num>
  <w:num w:numId="2" w16cid:durableId="1360542792">
    <w:abstractNumId w:val="1"/>
  </w:num>
  <w:num w:numId="3" w16cid:durableId="1485782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4C"/>
    <w:rsid w:val="00004127"/>
    <w:rsid w:val="00004F8C"/>
    <w:rsid w:val="00011655"/>
    <w:rsid w:val="00011E56"/>
    <w:rsid w:val="00015406"/>
    <w:rsid w:val="00020EAA"/>
    <w:rsid w:val="0003365A"/>
    <w:rsid w:val="00033847"/>
    <w:rsid w:val="0003488E"/>
    <w:rsid w:val="000410AC"/>
    <w:rsid w:val="00045376"/>
    <w:rsid w:val="00050F7F"/>
    <w:rsid w:val="00051E69"/>
    <w:rsid w:val="00055038"/>
    <w:rsid w:val="00060621"/>
    <w:rsid w:val="000626B1"/>
    <w:rsid w:val="00063A0E"/>
    <w:rsid w:val="00064461"/>
    <w:rsid w:val="0007374F"/>
    <w:rsid w:val="00076918"/>
    <w:rsid w:val="00077989"/>
    <w:rsid w:val="00084F41"/>
    <w:rsid w:val="000860C1"/>
    <w:rsid w:val="000867D6"/>
    <w:rsid w:val="00091F66"/>
    <w:rsid w:val="00094FC6"/>
    <w:rsid w:val="000A1F8E"/>
    <w:rsid w:val="000A4BB4"/>
    <w:rsid w:val="000B01BE"/>
    <w:rsid w:val="000C06B0"/>
    <w:rsid w:val="000C2CBD"/>
    <w:rsid w:val="000C58C1"/>
    <w:rsid w:val="000C5B4A"/>
    <w:rsid w:val="000C7245"/>
    <w:rsid w:val="000D4A51"/>
    <w:rsid w:val="000E4D61"/>
    <w:rsid w:val="000F1D88"/>
    <w:rsid w:val="00100026"/>
    <w:rsid w:val="00102B2D"/>
    <w:rsid w:val="00104AD1"/>
    <w:rsid w:val="001068AA"/>
    <w:rsid w:val="00106948"/>
    <w:rsid w:val="001071E9"/>
    <w:rsid w:val="001104B8"/>
    <w:rsid w:val="00110ED1"/>
    <w:rsid w:val="00112F67"/>
    <w:rsid w:val="00114E25"/>
    <w:rsid w:val="00117349"/>
    <w:rsid w:val="00125DF2"/>
    <w:rsid w:val="001265C6"/>
    <w:rsid w:val="00137000"/>
    <w:rsid w:val="0014282A"/>
    <w:rsid w:val="00145972"/>
    <w:rsid w:val="00146046"/>
    <w:rsid w:val="001605A2"/>
    <w:rsid w:val="00160F5D"/>
    <w:rsid w:val="00161FAF"/>
    <w:rsid w:val="00162BFF"/>
    <w:rsid w:val="00162E54"/>
    <w:rsid w:val="00164461"/>
    <w:rsid w:val="001645A4"/>
    <w:rsid w:val="0016508F"/>
    <w:rsid w:val="00171E98"/>
    <w:rsid w:val="00176626"/>
    <w:rsid w:val="00177D0E"/>
    <w:rsid w:val="001802FA"/>
    <w:rsid w:val="001A1158"/>
    <w:rsid w:val="001A1627"/>
    <w:rsid w:val="001A1948"/>
    <w:rsid w:val="001A1D99"/>
    <w:rsid w:val="001B07D3"/>
    <w:rsid w:val="001B12F5"/>
    <w:rsid w:val="001B2209"/>
    <w:rsid w:val="001C2F5A"/>
    <w:rsid w:val="001C7BA2"/>
    <w:rsid w:val="001D1A6A"/>
    <w:rsid w:val="001D2AF7"/>
    <w:rsid w:val="001D5496"/>
    <w:rsid w:val="001D7652"/>
    <w:rsid w:val="001E2202"/>
    <w:rsid w:val="001E2AAC"/>
    <w:rsid w:val="001E582E"/>
    <w:rsid w:val="001F025D"/>
    <w:rsid w:val="001F4A67"/>
    <w:rsid w:val="001F56E7"/>
    <w:rsid w:val="00213160"/>
    <w:rsid w:val="00213E80"/>
    <w:rsid w:val="0021770A"/>
    <w:rsid w:val="002307CE"/>
    <w:rsid w:val="00235DB3"/>
    <w:rsid w:val="002508BE"/>
    <w:rsid w:val="002518A1"/>
    <w:rsid w:val="0025230F"/>
    <w:rsid w:val="00262314"/>
    <w:rsid w:val="00267E1A"/>
    <w:rsid w:val="00270BF3"/>
    <w:rsid w:val="0028689A"/>
    <w:rsid w:val="00287DFB"/>
    <w:rsid w:val="00293BA2"/>
    <w:rsid w:val="002959DC"/>
    <w:rsid w:val="002A48CE"/>
    <w:rsid w:val="002B458B"/>
    <w:rsid w:val="002D44E6"/>
    <w:rsid w:val="002D6565"/>
    <w:rsid w:val="002E0F0D"/>
    <w:rsid w:val="002F0A6C"/>
    <w:rsid w:val="002F2E3C"/>
    <w:rsid w:val="002F4B7E"/>
    <w:rsid w:val="002F6BFF"/>
    <w:rsid w:val="003115A7"/>
    <w:rsid w:val="003122D4"/>
    <w:rsid w:val="00315151"/>
    <w:rsid w:val="00327FE4"/>
    <w:rsid w:val="0033291D"/>
    <w:rsid w:val="00336BCE"/>
    <w:rsid w:val="00340BBC"/>
    <w:rsid w:val="00343F60"/>
    <w:rsid w:val="00345148"/>
    <w:rsid w:val="00345C3A"/>
    <w:rsid w:val="00360134"/>
    <w:rsid w:val="003654E8"/>
    <w:rsid w:val="00372348"/>
    <w:rsid w:val="00373000"/>
    <w:rsid w:val="003743F0"/>
    <w:rsid w:val="00384E6A"/>
    <w:rsid w:val="003857CB"/>
    <w:rsid w:val="00386D60"/>
    <w:rsid w:val="00387250"/>
    <w:rsid w:val="0039678D"/>
    <w:rsid w:val="00397CEB"/>
    <w:rsid w:val="003A0CAA"/>
    <w:rsid w:val="003A0E30"/>
    <w:rsid w:val="003A22D4"/>
    <w:rsid w:val="003B4042"/>
    <w:rsid w:val="003B54F4"/>
    <w:rsid w:val="003B552C"/>
    <w:rsid w:val="003C3136"/>
    <w:rsid w:val="003C3D1F"/>
    <w:rsid w:val="003C5951"/>
    <w:rsid w:val="003D3CDC"/>
    <w:rsid w:val="003E04AC"/>
    <w:rsid w:val="003E6FE1"/>
    <w:rsid w:val="003E78B4"/>
    <w:rsid w:val="003E7953"/>
    <w:rsid w:val="003F6BAF"/>
    <w:rsid w:val="00404349"/>
    <w:rsid w:val="00412ADD"/>
    <w:rsid w:val="00422AF4"/>
    <w:rsid w:val="00422CD2"/>
    <w:rsid w:val="00425A01"/>
    <w:rsid w:val="004318D0"/>
    <w:rsid w:val="004339D5"/>
    <w:rsid w:val="00434552"/>
    <w:rsid w:val="00437A57"/>
    <w:rsid w:val="00437A85"/>
    <w:rsid w:val="00442389"/>
    <w:rsid w:val="0044474C"/>
    <w:rsid w:val="004449BC"/>
    <w:rsid w:val="00447FE2"/>
    <w:rsid w:val="00460CE4"/>
    <w:rsid w:val="0046564D"/>
    <w:rsid w:val="004662A9"/>
    <w:rsid w:val="004712A1"/>
    <w:rsid w:val="0047144A"/>
    <w:rsid w:val="00471E50"/>
    <w:rsid w:val="004755A1"/>
    <w:rsid w:val="00476317"/>
    <w:rsid w:val="00480AB7"/>
    <w:rsid w:val="0048156A"/>
    <w:rsid w:val="00482EBB"/>
    <w:rsid w:val="00485145"/>
    <w:rsid w:val="00495995"/>
    <w:rsid w:val="004A231F"/>
    <w:rsid w:val="004A2907"/>
    <w:rsid w:val="004B0BB5"/>
    <w:rsid w:val="004B0D0B"/>
    <w:rsid w:val="004C13A0"/>
    <w:rsid w:val="004C2281"/>
    <w:rsid w:val="004C3FB5"/>
    <w:rsid w:val="004D56A4"/>
    <w:rsid w:val="004E62ED"/>
    <w:rsid w:val="004E789C"/>
    <w:rsid w:val="004F3394"/>
    <w:rsid w:val="004F51AF"/>
    <w:rsid w:val="004F542C"/>
    <w:rsid w:val="004F6140"/>
    <w:rsid w:val="00501E45"/>
    <w:rsid w:val="005041E3"/>
    <w:rsid w:val="00504B10"/>
    <w:rsid w:val="00505B6C"/>
    <w:rsid w:val="00513693"/>
    <w:rsid w:val="005209C3"/>
    <w:rsid w:val="005211A9"/>
    <w:rsid w:val="005279E1"/>
    <w:rsid w:val="00530EFA"/>
    <w:rsid w:val="00532889"/>
    <w:rsid w:val="00534260"/>
    <w:rsid w:val="00536007"/>
    <w:rsid w:val="00536B18"/>
    <w:rsid w:val="00560C0B"/>
    <w:rsid w:val="00567025"/>
    <w:rsid w:val="00567340"/>
    <w:rsid w:val="0057025B"/>
    <w:rsid w:val="005715DF"/>
    <w:rsid w:val="00572FB7"/>
    <w:rsid w:val="0058547F"/>
    <w:rsid w:val="0059254D"/>
    <w:rsid w:val="00594109"/>
    <w:rsid w:val="005A28A0"/>
    <w:rsid w:val="005A4823"/>
    <w:rsid w:val="005B644B"/>
    <w:rsid w:val="005C2723"/>
    <w:rsid w:val="005C796D"/>
    <w:rsid w:val="005D12E1"/>
    <w:rsid w:val="005D424D"/>
    <w:rsid w:val="005D66B4"/>
    <w:rsid w:val="005D770A"/>
    <w:rsid w:val="005E338D"/>
    <w:rsid w:val="005E67F7"/>
    <w:rsid w:val="005F3564"/>
    <w:rsid w:val="00600D98"/>
    <w:rsid w:val="006300EC"/>
    <w:rsid w:val="00633778"/>
    <w:rsid w:val="0063533E"/>
    <w:rsid w:val="006451BE"/>
    <w:rsid w:val="00647314"/>
    <w:rsid w:val="00653C05"/>
    <w:rsid w:val="006545AB"/>
    <w:rsid w:val="00655DBA"/>
    <w:rsid w:val="00660270"/>
    <w:rsid w:val="00663DE6"/>
    <w:rsid w:val="00671114"/>
    <w:rsid w:val="00674B5F"/>
    <w:rsid w:val="00675BB0"/>
    <w:rsid w:val="00683AAC"/>
    <w:rsid w:val="006873C3"/>
    <w:rsid w:val="006B02FB"/>
    <w:rsid w:val="006B1335"/>
    <w:rsid w:val="006D0B33"/>
    <w:rsid w:val="006D682B"/>
    <w:rsid w:val="006F1129"/>
    <w:rsid w:val="006F33B5"/>
    <w:rsid w:val="006F6658"/>
    <w:rsid w:val="006F6A9C"/>
    <w:rsid w:val="00701BBE"/>
    <w:rsid w:val="00706E4D"/>
    <w:rsid w:val="00714016"/>
    <w:rsid w:val="00714709"/>
    <w:rsid w:val="00715A80"/>
    <w:rsid w:val="00721937"/>
    <w:rsid w:val="00721B66"/>
    <w:rsid w:val="0073018E"/>
    <w:rsid w:val="00732E21"/>
    <w:rsid w:val="00733544"/>
    <w:rsid w:val="00750857"/>
    <w:rsid w:val="0075102A"/>
    <w:rsid w:val="00763467"/>
    <w:rsid w:val="007654C8"/>
    <w:rsid w:val="00772C43"/>
    <w:rsid w:val="00780860"/>
    <w:rsid w:val="00781F4E"/>
    <w:rsid w:val="00782A34"/>
    <w:rsid w:val="0078419D"/>
    <w:rsid w:val="00786B17"/>
    <w:rsid w:val="0079199C"/>
    <w:rsid w:val="007A0363"/>
    <w:rsid w:val="007A1B3D"/>
    <w:rsid w:val="007A5856"/>
    <w:rsid w:val="007A5F99"/>
    <w:rsid w:val="007B11A0"/>
    <w:rsid w:val="007B1E56"/>
    <w:rsid w:val="007B3663"/>
    <w:rsid w:val="007C0157"/>
    <w:rsid w:val="007C16AD"/>
    <w:rsid w:val="007C4865"/>
    <w:rsid w:val="007C7352"/>
    <w:rsid w:val="007D06A1"/>
    <w:rsid w:val="007D51B7"/>
    <w:rsid w:val="007D52BC"/>
    <w:rsid w:val="007D56C7"/>
    <w:rsid w:val="007D6491"/>
    <w:rsid w:val="007E03F7"/>
    <w:rsid w:val="007E3C75"/>
    <w:rsid w:val="007E4B87"/>
    <w:rsid w:val="007E57C5"/>
    <w:rsid w:val="007E61CE"/>
    <w:rsid w:val="007F6B15"/>
    <w:rsid w:val="007F74C9"/>
    <w:rsid w:val="008053E0"/>
    <w:rsid w:val="008062A1"/>
    <w:rsid w:val="0081149D"/>
    <w:rsid w:val="00811F09"/>
    <w:rsid w:val="008224F9"/>
    <w:rsid w:val="00824DB8"/>
    <w:rsid w:val="008310B7"/>
    <w:rsid w:val="00831E9D"/>
    <w:rsid w:val="008424C4"/>
    <w:rsid w:val="00852269"/>
    <w:rsid w:val="00853075"/>
    <w:rsid w:val="00861C22"/>
    <w:rsid w:val="00862DB5"/>
    <w:rsid w:val="00870D9A"/>
    <w:rsid w:val="00875B58"/>
    <w:rsid w:val="0088049C"/>
    <w:rsid w:val="00886F12"/>
    <w:rsid w:val="008875D1"/>
    <w:rsid w:val="00892935"/>
    <w:rsid w:val="00892B8B"/>
    <w:rsid w:val="00893363"/>
    <w:rsid w:val="008A33B3"/>
    <w:rsid w:val="008B4286"/>
    <w:rsid w:val="008B5D1B"/>
    <w:rsid w:val="008C1CF3"/>
    <w:rsid w:val="008C30E9"/>
    <w:rsid w:val="008C39C5"/>
    <w:rsid w:val="008D16BC"/>
    <w:rsid w:val="008E3D3B"/>
    <w:rsid w:val="008F0DB7"/>
    <w:rsid w:val="008F19E5"/>
    <w:rsid w:val="008F4CAA"/>
    <w:rsid w:val="008F62D1"/>
    <w:rsid w:val="00903E58"/>
    <w:rsid w:val="009068EB"/>
    <w:rsid w:val="0091174C"/>
    <w:rsid w:val="00911F82"/>
    <w:rsid w:val="0091366B"/>
    <w:rsid w:val="0091485D"/>
    <w:rsid w:val="00926DA1"/>
    <w:rsid w:val="00930718"/>
    <w:rsid w:val="00930839"/>
    <w:rsid w:val="00934568"/>
    <w:rsid w:val="00940DEE"/>
    <w:rsid w:val="009414AB"/>
    <w:rsid w:val="00941646"/>
    <w:rsid w:val="009435F6"/>
    <w:rsid w:val="00943E4A"/>
    <w:rsid w:val="009453B8"/>
    <w:rsid w:val="009526E2"/>
    <w:rsid w:val="009539F1"/>
    <w:rsid w:val="00955676"/>
    <w:rsid w:val="00957997"/>
    <w:rsid w:val="0096231F"/>
    <w:rsid w:val="00963DA7"/>
    <w:rsid w:val="00963DFE"/>
    <w:rsid w:val="00966E37"/>
    <w:rsid w:val="00974D5E"/>
    <w:rsid w:val="0097768D"/>
    <w:rsid w:val="00982200"/>
    <w:rsid w:val="00983295"/>
    <w:rsid w:val="009836DB"/>
    <w:rsid w:val="009854B0"/>
    <w:rsid w:val="009926E7"/>
    <w:rsid w:val="009955FB"/>
    <w:rsid w:val="009A7083"/>
    <w:rsid w:val="009B05FA"/>
    <w:rsid w:val="009B1583"/>
    <w:rsid w:val="009B43AB"/>
    <w:rsid w:val="009B73D0"/>
    <w:rsid w:val="009B7702"/>
    <w:rsid w:val="009C08A8"/>
    <w:rsid w:val="009C3308"/>
    <w:rsid w:val="009C3E70"/>
    <w:rsid w:val="009C6060"/>
    <w:rsid w:val="009C6C16"/>
    <w:rsid w:val="009C7173"/>
    <w:rsid w:val="009D7187"/>
    <w:rsid w:val="009D79D3"/>
    <w:rsid w:val="009E0617"/>
    <w:rsid w:val="009E1699"/>
    <w:rsid w:val="009E78DE"/>
    <w:rsid w:val="00A00FCF"/>
    <w:rsid w:val="00A027D5"/>
    <w:rsid w:val="00A027EA"/>
    <w:rsid w:val="00A03D6E"/>
    <w:rsid w:val="00A047A4"/>
    <w:rsid w:val="00A10446"/>
    <w:rsid w:val="00A13C4D"/>
    <w:rsid w:val="00A15638"/>
    <w:rsid w:val="00A239CC"/>
    <w:rsid w:val="00A253B8"/>
    <w:rsid w:val="00A31559"/>
    <w:rsid w:val="00A32C09"/>
    <w:rsid w:val="00A4551C"/>
    <w:rsid w:val="00A469C0"/>
    <w:rsid w:val="00A515F6"/>
    <w:rsid w:val="00A54E82"/>
    <w:rsid w:val="00A56F21"/>
    <w:rsid w:val="00A676C2"/>
    <w:rsid w:val="00A72578"/>
    <w:rsid w:val="00A72A7A"/>
    <w:rsid w:val="00A74BBF"/>
    <w:rsid w:val="00A76228"/>
    <w:rsid w:val="00A80694"/>
    <w:rsid w:val="00A849CA"/>
    <w:rsid w:val="00A93518"/>
    <w:rsid w:val="00A978E0"/>
    <w:rsid w:val="00AA5F54"/>
    <w:rsid w:val="00AB0AB0"/>
    <w:rsid w:val="00AB0CEC"/>
    <w:rsid w:val="00AB5EAE"/>
    <w:rsid w:val="00AC59F6"/>
    <w:rsid w:val="00AE5E50"/>
    <w:rsid w:val="00AF550B"/>
    <w:rsid w:val="00AF755D"/>
    <w:rsid w:val="00B02779"/>
    <w:rsid w:val="00B03EAC"/>
    <w:rsid w:val="00B061EE"/>
    <w:rsid w:val="00B13E7F"/>
    <w:rsid w:val="00B14E9B"/>
    <w:rsid w:val="00B22BF0"/>
    <w:rsid w:val="00B23F89"/>
    <w:rsid w:val="00B24953"/>
    <w:rsid w:val="00B24D51"/>
    <w:rsid w:val="00B30E9A"/>
    <w:rsid w:val="00B37395"/>
    <w:rsid w:val="00B406BB"/>
    <w:rsid w:val="00B47467"/>
    <w:rsid w:val="00B51825"/>
    <w:rsid w:val="00B51D7E"/>
    <w:rsid w:val="00B55C8A"/>
    <w:rsid w:val="00B65081"/>
    <w:rsid w:val="00B67FC3"/>
    <w:rsid w:val="00B70DF8"/>
    <w:rsid w:val="00B72608"/>
    <w:rsid w:val="00B72FD0"/>
    <w:rsid w:val="00B73526"/>
    <w:rsid w:val="00B773F1"/>
    <w:rsid w:val="00B77929"/>
    <w:rsid w:val="00B83927"/>
    <w:rsid w:val="00B96983"/>
    <w:rsid w:val="00BA21DC"/>
    <w:rsid w:val="00BA2C14"/>
    <w:rsid w:val="00BA792C"/>
    <w:rsid w:val="00BA7AB0"/>
    <w:rsid w:val="00BB082D"/>
    <w:rsid w:val="00BC527F"/>
    <w:rsid w:val="00BC7EEF"/>
    <w:rsid w:val="00BD2C84"/>
    <w:rsid w:val="00BD4139"/>
    <w:rsid w:val="00BF3286"/>
    <w:rsid w:val="00BF5317"/>
    <w:rsid w:val="00BF5649"/>
    <w:rsid w:val="00BF70AF"/>
    <w:rsid w:val="00C01493"/>
    <w:rsid w:val="00C05554"/>
    <w:rsid w:val="00C12819"/>
    <w:rsid w:val="00C22C85"/>
    <w:rsid w:val="00C3353B"/>
    <w:rsid w:val="00C36339"/>
    <w:rsid w:val="00C40D9D"/>
    <w:rsid w:val="00C42694"/>
    <w:rsid w:val="00C43D72"/>
    <w:rsid w:val="00C44762"/>
    <w:rsid w:val="00C50967"/>
    <w:rsid w:val="00C5150D"/>
    <w:rsid w:val="00C5221E"/>
    <w:rsid w:val="00C540A8"/>
    <w:rsid w:val="00C543DA"/>
    <w:rsid w:val="00C62818"/>
    <w:rsid w:val="00C63BEF"/>
    <w:rsid w:val="00C64E91"/>
    <w:rsid w:val="00C7794E"/>
    <w:rsid w:val="00C84094"/>
    <w:rsid w:val="00C84331"/>
    <w:rsid w:val="00C87D5E"/>
    <w:rsid w:val="00C90E60"/>
    <w:rsid w:val="00CA0058"/>
    <w:rsid w:val="00CA0D7D"/>
    <w:rsid w:val="00CA19F9"/>
    <w:rsid w:val="00CA4124"/>
    <w:rsid w:val="00CA7584"/>
    <w:rsid w:val="00CB2470"/>
    <w:rsid w:val="00CB51B3"/>
    <w:rsid w:val="00CC082B"/>
    <w:rsid w:val="00CC2E83"/>
    <w:rsid w:val="00CC5E9E"/>
    <w:rsid w:val="00CD331E"/>
    <w:rsid w:val="00CD4F92"/>
    <w:rsid w:val="00CD6A30"/>
    <w:rsid w:val="00CD7805"/>
    <w:rsid w:val="00CE25DF"/>
    <w:rsid w:val="00CE49FF"/>
    <w:rsid w:val="00CF5CD5"/>
    <w:rsid w:val="00D0206A"/>
    <w:rsid w:val="00D0492B"/>
    <w:rsid w:val="00D05899"/>
    <w:rsid w:val="00D0646C"/>
    <w:rsid w:val="00D06833"/>
    <w:rsid w:val="00D14D4A"/>
    <w:rsid w:val="00D2300A"/>
    <w:rsid w:val="00D34EDC"/>
    <w:rsid w:val="00D44CA4"/>
    <w:rsid w:val="00D5746F"/>
    <w:rsid w:val="00D61835"/>
    <w:rsid w:val="00D70B96"/>
    <w:rsid w:val="00D721FA"/>
    <w:rsid w:val="00D7598D"/>
    <w:rsid w:val="00D87AFD"/>
    <w:rsid w:val="00D92B2E"/>
    <w:rsid w:val="00D94EBB"/>
    <w:rsid w:val="00DA4269"/>
    <w:rsid w:val="00DA6B61"/>
    <w:rsid w:val="00DB1218"/>
    <w:rsid w:val="00DB3CA1"/>
    <w:rsid w:val="00DB43F3"/>
    <w:rsid w:val="00DC1727"/>
    <w:rsid w:val="00DC219A"/>
    <w:rsid w:val="00DC40F8"/>
    <w:rsid w:val="00DC5647"/>
    <w:rsid w:val="00DC613A"/>
    <w:rsid w:val="00DD5C47"/>
    <w:rsid w:val="00DE2177"/>
    <w:rsid w:val="00DE70A4"/>
    <w:rsid w:val="00DF37B9"/>
    <w:rsid w:val="00E00CA9"/>
    <w:rsid w:val="00E00D8E"/>
    <w:rsid w:val="00E0473A"/>
    <w:rsid w:val="00E062C2"/>
    <w:rsid w:val="00E11A25"/>
    <w:rsid w:val="00E13EAB"/>
    <w:rsid w:val="00E150ED"/>
    <w:rsid w:val="00E20E0B"/>
    <w:rsid w:val="00E231BA"/>
    <w:rsid w:val="00E27978"/>
    <w:rsid w:val="00E341BB"/>
    <w:rsid w:val="00E4788D"/>
    <w:rsid w:val="00E50F60"/>
    <w:rsid w:val="00E51F4B"/>
    <w:rsid w:val="00E54BCE"/>
    <w:rsid w:val="00E638BE"/>
    <w:rsid w:val="00E673C6"/>
    <w:rsid w:val="00E67B53"/>
    <w:rsid w:val="00E704D2"/>
    <w:rsid w:val="00E72450"/>
    <w:rsid w:val="00E81300"/>
    <w:rsid w:val="00E82F0E"/>
    <w:rsid w:val="00E861E7"/>
    <w:rsid w:val="00E86622"/>
    <w:rsid w:val="00E93331"/>
    <w:rsid w:val="00E95C82"/>
    <w:rsid w:val="00EA3BE0"/>
    <w:rsid w:val="00EB28E4"/>
    <w:rsid w:val="00EB5B79"/>
    <w:rsid w:val="00EB5DA3"/>
    <w:rsid w:val="00EB6485"/>
    <w:rsid w:val="00EB6996"/>
    <w:rsid w:val="00EC4B2D"/>
    <w:rsid w:val="00EC612C"/>
    <w:rsid w:val="00EC709D"/>
    <w:rsid w:val="00ED44A3"/>
    <w:rsid w:val="00EE0DC1"/>
    <w:rsid w:val="00EE2A25"/>
    <w:rsid w:val="00EE2B96"/>
    <w:rsid w:val="00EE336F"/>
    <w:rsid w:val="00EE5480"/>
    <w:rsid w:val="00EE598C"/>
    <w:rsid w:val="00EE6FF1"/>
    <w:rsid w:val="00EE79F0"/>
    <w:rsid w:val="00EF2452"/>
    <w:rsid w:val="00EF3DCC"/>
    <w:rsid w:val="00EF7B99"/>
    <w:rsid w:val="00F04C43"/>
    <w:rsid w:val="00F0590A"/>
    <w:rsid w:val="00F068DA"/>
    <w:rsid w:val="00F11A8F"/>
    <w:rsid w:val="00F11FF6"/>
    <w:rsid w:val="00F1240D"/>
    <w:rsid w:val="00F13524"/>
    <w:rsid w:val="00F13B31"/>
    <w:rsid w:val="00F1547E"/>
    <w:rsid w:val="00F16163"/>
    <w:rsid w:val="00F24727"/>
    <w:rsid w:val="00F41382"/>
    <w:rsid w:val="00F42271"/>
    <w:rsid w:val="00F54DBC"/>
    <w:rsid w:val="00F60B6E"/>
    <w:rsid w:val="00F6362D"/>
    <w:rsid w:val="00F640B4"/>
    <w:rsid w:val="00F662A5"/>
    <w:rsid w:val="00F77086"/>
    <w:rsid w:val="00F819E4"/>
    <w:rsid w:val="00F85C8A"/>
    <w:rsid w:val="00F9156E"/>
    <w:rsid w:val="00F94866"/>
    <w:rsid w:val="00F94E23"/>
    <w:rsid w:val="00F97600"/>
    <w:rsid w:val="00FA0082"/>
    <w:rsid w:val="00FA355B"/>
    <w:rsid w:val="00FA5627"/>
    <w:rsid w:val="00FA7C24"/>
    <w:rsid w:val="00FB3044"/>
    <w:rsid w:val="00FB308B"/>
    <w:rsid w:val="00FB3502"/>
    <w:rsid w:val="00FB422B"/>
    <w:rsid w:val="00FC2A7A"/>
    <w:rsid w:val="00FC2AD9"/>
    <w:rsid w:val="00FC310B"/>
    <w:rsid w:val="00FC64D6"/>
    <w:rsid w:val="00FD5929"/>
    <w:rsid w:val="00FD6448"/>
    <w:rsid w:val="00FD64A9"/>
    <w:rsid w:val="00FE0AD5"/>
    <w:rsid w:val="00FE3F90"/>
    <w:rsid w:val="00FF13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CBE39"/>
  <w15:chartTrackingRefBased/>
  <w15:docId w15:val="{3357048E-606E-7946-A5C9-5BF61672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F4CAA"/>
    <w:rPr>
      <w:rFonts w:ascii="Times New Roman" w:eastAsia="Times New Roman" w:hAnsi="Times New Roman" w:cs="Times New Roman"/>
      <w:lang w:eastAsia="it-IT"/>
    </w:rPr>
  </w:style>
  <w:style w:type="paragraph" w:styleId="Titolo2">
    <w:name w:val="heading 2"/>
    <w:link w:val="Titolo2Carattere"/>
    <w:uiPriority w:val="9"/>
    <w:unhideWhenUsed/>
    <w:qFormat/>
    <w:rsid w:val="0044474C"/>
    <w:pPr>
      <w:pBdr>
        <w:top w:val="nil"/>
        <w:left w:val="nil"/>
        <w:bottom w:val="nil"/>
        <w:right w:val="nil"/>
        <w:between w:val="nil"/>
        <w:bar w:val="nil"/>
      </w:pBdr>
      <w:spacing w:before="100" w:after="100"/>
      <w:outlineLvl w:val="1"/>
    </w:pPr>
    <w:rPr>
      <w:rFonts w:ascii="Times New Roman" w:eastAsia="Times New Roman" w:hAnsi="Times New Roman" w:cs="Times New Roman"/>
      <w:b/>
      <w:bCs/>
      <w:color w:val="000000"/>
      <w:sz w:val="36"/>
      <w:szCs w:val="36"/>
      <w:u w:color="000000"/>
      <w:bdr w:val="nil"/>
      <w:lang w:eastAsia="it-IT"/>
    </w:rPr>
  </w:style>
  <w:style w:type="paragraph" w:styleId="Titolo3">
    <w:name w:val="heading 3"/>
    <w:basedOn w:val="Normale"/>
    <w:next w:val="Normale"/>
    <w:link w:val="Titolo3Carattere"/>
    <w:uiPriority w:val="9"/>
    <w:semiHidden/>
    <w:unhideWhenUsed/>
    <w:qFormat/>
    <w:rsid w:val="00442389"/>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4474C"/>
    <w:rPr>
      <w:rFonts w:ascii="Times New Roman" w:eastAsia="Times New Roman" w:hAnsi="Times New Roman" w:cs="Times New Roman"/>
      <w:b/>
      <w:bCs/>
      <w:color w:val="000000"/>
      <w:sz w:val="36"/>
      <w:szCs w:val="36"/>
      <w:u w:color="000000"/>
      <w:bdr w:val="nil"/>
      <w:lang w:eastAsia="it-IT"/>
    </w:rPr>
  </w:style>
  <w:style w:type="paragraph" w:styleId="Intestazione">
    <w:name w:val="header"/>
    <w:link w:val="IntestazioneCarattere"/>
    <w:rsid w:val="0044474C"/>
    <w:pPr>
      <w:pBdr>
        <w:top w:val="nil"/>
        <w:left w:val="nil"/>
        <w:bottom w:val="nil"/>
        <w:right w:val="nil"/>
        <w:between w:val="nil"/>
        <w:bar w:val="nil"/>
      </w:pBdr>
      <w:tabs>
        <w:tab w:val="center" w:pos="4819"/>
        <w:tab w:val="right" w:pos="9638"/>
      </w:tabs>
    </w:pPr>
    <w:rPr>
      <w:rFonts w:ascii="Calibri" w:eastAsia="Calibri" w:hAnsi="Calibri" w:cs="Calibri"/>
      <w:color w:val="000000"/>
      <w:sz w:val="22"/>
      <w:szCs w:val="22"/>
      <w:u w:color="000000"/>
      <w:bdr w:val="nil"/>
      <w:lang w:eastAsia="it-IT"/>
    </w:rPr>
  </w:style>
  <w:style w:type="character" w:customStyle="1" w:styleId="IntestazioneCarattere">
    <w:name w:val="Intestazione Carattere"/>
    <w:basedOn w:val="Carpredefinitoparagrafo"/>
    <w:link w:val="Intestazione"/>
    <w:rsid w:val="0044474C"/>
    <w:rPr>
      <w:rFonts w:ascii="Calibri" w:eastAsia="Calibri" w:hAnsi="Calibri" w:cs="Calibri"/>
      <w:color w:val="000000"/>
      <w:sz w:val="22"/>
      <w:szCs w:val="22"/>
      <w:u w:color="000000"/>
      <w:bdr w:val="nil"/>
      <w:lang w:eastAsia="it-IT"/>
    </w:rPr>
  </w:style>
  <w:style w:type="character" w:customStyle="1" w:styleId="NessunoA">
    <w:name w:val="Nessuno A"/>
    <w:rsid w:val="0044474C"/>
    <w:rPr>
      <w:lang w:val="it-IT"/>
    </w:rPr>
  </w:style>
  <w:style w:type="paragraph" w:customStyle="1" w:styleId="DidefaultA">
    <w:name w:val="Di default A"/>
    <w:rsid w:val="0044474C"/>
    <w:pPr>
      <w:pBdr>
        <w:top w:val="nil"/>
        <w:left w:val="nil"/>
        <w:bottom w:val="nil"/>
        <w:right w:val="nil"/>
        <w:between w:val="nil"/>
        <w:bar w:val="nil"/>
      </w:pBdr>
      <w:spacing w:after="160" w:line="259" w:lineRule="auto"/>
    </w:pPr>
    <w:rPr>
      <w:rFonts w:ascii="Helvetica" w:eastAsia="Arial Unicode MS" w:hAnsi="Helvetica" w:cs="Arial Unicode MS"/>
      <w:color w:val="000000"/>
      <w:sz w:val="22"/>
      <w:szCs w:val="22"/>
      <w:u w:color="000000"/>
      <w:bdr w:val="nil"/>
      <w:lang w:eastAsia="it-IT"/>
    </w:rPr>
  </w:style>
  <w:style w:type="character" w:customStyle="1" w:styleId="Hyperlink0">
    <w:name w:val="Hyperlink.0"/>
    <w:basedOn w:val="NessunoA"/>
    <w:rsid w:val="0044474C"/>
    <w:rPr>
      <w:u w:val="single" w:color="0000FF"/>
      <w:lang w:val="en-US"/>
    </w:rPr>
  </w:style>
  <w:style w:type="paragraph" w:styleId="NormaleWeb">
    <w:name w:val="Normal (Web)"/>
    <w:basedOn w:val="Normale"/>
    <w:uiPriority w:val="99"/>
    <w:unhideWhenUsed/>
    <w:rsid w:val="0044474C"/>
    <w:pPr>
      <w:spacing w:before="100" w:beforeAutospacing="1" w:after="100" w:afterAutospacing="1"/>
    </w:pPr>
  </w:style>
  <w:style w:type="character" w:styleId="Enfasigrassetto">
    <w:name w:val="Strong"/>
    <w:basedOn w:val="Carpredefinitoparagrafo"/>
    <w:uiPriority w:val="22"/>
    <w:qFormat/>
    <w:rsid w:val="0044474C"/>
    <w:rPr>
      <w:b/>
      <w:bCs/>
    </w:rPr>
  </w:style>
  <w:style w:type="character" w:customStyle="1" w:styleId="apple-converted-space">
    <w:name w:val="apple-converted-space"/>
    <w:basedOn w:val="Carpredefinitoparagrafo"/>
    <w:rsid w:val="0044474C"/>
  </w:style>
  <w:style w:type="table" w:styleId="Grigliatabella">
    <w:name w:val="Table Grid"/>
    <w:basedOn w:val="Tabellanormale"/>
    <w:uiPriority w:val="39"/>
    <w:rsid w:val="0044474C"/>
    <w:pPr>
      <w:pBdr>
        <w:top w:val="nil"/>
        <w:left w:val="nil"/>
        <w:bottom w:val="nil"/>
        <w:right w:val="nil"/>
        <w:between w:val="nil"/>
        <w:bar w:val="nil"/>
      </w:pBdr>
    </w:pPr>
    <w:rPr>
      <w:rFonts w:ascii="Times New Roman" w:eastAsia="Arial Unicode MS" w:hAnsi="Times New Roman" w:cs="Times New Roman"/>
      <w:sz w:val="20"/>
      <w:szCs w:val="20"/>
      <w:bdr w:val="nil"/>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a0">
    <w:name w:val="nessunoa"/>
    <w:basedOn w:val="Carpredefinitoparagrafo"/>
    <w:rsid w:val="0044474C"/>
  </w:style>
  <w:style w:type="paragraph" w:styleId="Pidipagina">
    <w:name w:val="footer"/>
    <w:basedOn w:val="Normale"/>
    <w:link w:val="PidipaginaCarattere"/>
    <w:uiPriority w:val="99"/>
    <w:unhideWhenUsed/>
    <w:rsid w:val="00E673C6"/>
    <w:pPr>
      <w:tabs>
        <w:tab w:val="center" w:pos="4819"/>
        <w:tab w:val="right" w:pos="9638"/>
      </w:tabs>
    </w:pPr>
  </w:style>
  <w:style w:type="character" w:customStyle="1" w:styleId="PidipaginaCarattere">
    <w:name w:val="Piè di pagina Carattere"/>
    <w:basedOn w:val="Carpredefinitoparagrafo"/>
    <w:link w:val="Pidipagina"/>
    <w:uiPriority w:val="99"/>
    <w:rsid w:val="00E673C6"/>
    <w:rPr>
      <w:rFonts w:ascii="Times New Roman" w:eastAsia="Times New Roman" w:hAnsi="Times New Roman" w:cs="Times New Roman"/>
      <w:lang w:eastAsia="it-IT"/>
    </w:rPr>
  </w:style>
  <w:style w:type="paragraph" w:styleId="Revisione">
    <w:name w:val="Revision"/>
    <w:hidden/>
    <w:uiPriority w:val="99"/>
    <w:semiHidden/>
    <w:rsid w:val="003122D4"/>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345C3A"/>
    <w:rPr>
      <w:color w:val="0000FF"/>
      <w:u w:val="single"/>
    </w:rPr>
  </w:style>
  <w:style w:type="character" w:styleId="Menzionenonrisolta">
    <w:name w:val="Unresolved Mention"/>
    <w:basedOn w:val="Carpredefinitoparagrafo"/>
    <w:uiPriority w:val="99"/>
    <w:semiHidden/>
    <w:unhideWhenUsed/>
    <w:rsid w:val="00660270"/>
    <w:rPr>
      <w:color w:val="605E5C"/>
      <w:shd w:val="clear" w:color="auto" w:fill="E1DFDD"/>
    </w:rPr>
  </w:style>
  <w:style w:type="paragraph" w:customStyle="1" w:styleId="paragraph">
    <w:name w:val="paragraph"/>
    <w:basedOn w:val="Normale"/>
    <w:rsid w:val="00A76228"/>
    <w:pPr>
      <w:spacing w:before="100" w:beforeAutospacing="1" w:after="100" w:afterAutospacing="1"/>
    </w:pPr>
  </w:style>
  <w:style w:type="character" w:customStyle="1" w:styleId="normaltextrun">
    <w:name w:val="normaltextrun"/>
    <w:basedOn w:val="Carpredefinitoparagrafo"/>
    <w:rsid w:val="00A76228"/>
  </w:style>
  <w:style w:type="character" w:customStyle="1" w:styleId="eop">
    <w:name w:val="eop"/>
    <w:basedOn w:val="Carpredefinitoparagrafo"/>
    <w:rsid w:val="00A76228"/>
  </w:style>
  <w:style w:type="paragraph" w:styleId="Paragrafoelenco">
    <w:name w:val="List Paragraph"/>
    <w:basedOn w:val="Normale"/>
    <w:uiPriority w:val="34"/>
    <w:qFormat/>
    <w:rsid w:val="00137000"/>
    <w:pPr>
      <w:spacing w:after="160" w:line="259" w:lineRule="auto"/>
      <w:ind w:left="720"/>
      <w:contextualSpacing/>
    </w:pPr>
    <w:rPr>
      <w:rFonts w:asciiTheme="minorHAnsi" w:eastAsiaTheme="minorHAnsi" w:hAnsiTheme="minorHAnsi" w:cstheme="minorBidi"/>
      <w:sz w:val="22"/>
      <w:szCs w:val="22"/>
      <w:lang w:val="en-GB" w:eastAsia="en-US"/>
    </w:rPr>
  </w:style>
  <w:style w:type="character" w:styleId="Rimandocommento">
    <w:name w:val="annotation reference"/>
    <w:basedOn w:val="Carpredefinitoparagrafo"/>
    <w:uiPriority w:val="99"/>
    <w:semiHidden/>
    <w:unhideWhenUsed/>
    <w:rsid w:val="00853075"/>
    <w:rPr>
      <w:sz w:val="16"/>
      <w:szCs w:val="16"/>
    </w:rPr>
  </w:style>
  <w:style w:type="paragraph" w:styleId="Testocommento">
    <w:name w:val="annotation text"/>
    <w:basedOn w:val="Normale"/>
    <w:link w:val="TestocommentoCarattere"/>
    <w:uiPriority w:val="99"/>
    <w:unhideWhenUsed/>
    <w:rsid w:val="00853075"/>
    <w:rPr>
      <w:sz w:val="20"/>
      <w:szCs w:val="20"/>
    </w:rPr>
  </w:style>
  <w:style w:type="character" w:customStyle="1" w:styleId="TestocommentoCarattere">
    <w:name w:val="Testo commento Carattere"/>
    <w:basedOn w:val="Carpredefinitoparagrafo"/>
    <w:link w:val="Testocommento"/>
    <w:uiPriority w:val="99"/>
    <w:rsid w:val="00853075"/>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53075"/>
    <w:rPr>
      <w:b/>
      <w:bCs/>
    </w:rPr>
  </w:style>
  <w:style w:type="character" w:customStyle="1" w:styleId="SoggettocommentoCarattere">
    <w:name w:val="Soggetto commento Carattere"/>
    <w:basedOn w:val="TestocommentoCarattere"/>
    <w:link w:val="Soggettocommento"/>
    <w:uiPriority w:val="99"/>
    <w:semiHidden/>
    <w:rsid w:val="00853075"/>
    <w:rPr>
      <w:rFonts w:ascii="Times New Roman" w:eastAsia="Times New Roman" w:hAnsi="Times New Roman" w:cs="Times New Roman"/>
      <w:b/>
      <w:bCs/>
      <w:sz w:val="20"/>
      <w:szCs w:val="20"/>
      <w:lang w:eastAsia="it-IT"/>
    </w:rPr>
  </w:style>
  <w:style w:type="character" w:customStyle="1" w:styleId="Titolo3Carattere">
    <w:name w:val="Titolo 3 Carattere"/>
    <w:basedOn w:val="Carpredefinitoparagrafo"/>
    <w:link w:val="Titolo3"/>
    <w:uiPriority w:val="9"/>
    <w:semiHidden/>
    <w:rsid w:val="00442389"/>
    <w:rPr>
      <w:rFonts w:asciiTheme="majorHAnsi" w:eastAsiaTheme="majorEastAsia" w:hAnsiTheme="majorHAnsi" w:cstheme="majorBidi"/>
      <w:color w:val="1F3763" w:themeColor="accent1" w:themeShade="7F"/>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5321">
      <w:bodyDiv w:val="1"/>
      <w:marLeft w:val="0"/>
      <w:marRight w:val="0"/>
      <w:marTop w:val="0"/>
      <w:marBottom w:val="0"/>
      <w:divBdr>
        <w:top w:val="none" w:sz="0" w:space="0" w:color="auto"/>
        <w:left w:val="none" w:sz="0" w:space="0" w:color="auto"/>
        <w:bottom w:val="none" w:sz="0" w:space="0" w:color="auto"/>
        <w:right w:val="none" w:sz="0" w:space="0" w:color="auto"/>
      </w:divBdr>
    </w:div>
    <w:div w:id="79178974">
      <w:bodyDiv w:val="1"/>
      <w:marLeft w:val="0"/>
      <w:marRight w:val="0"/>
      <w:marTop w:val="0"/>
      <w:marBottom w:val="0"/>
      <w:divBdr>
        <w:top w:val="none" w:sz="0" w:space="0" w:color="auto"/>
        <w:left w:val="none" w:sz="0" w:space="0" w:color="auto"/>
        <w:bottom w:val="none" w:sz="0" w:space="0" w:color="auto"/>
        <w:right w:val="none" w:sz="0" w:space="0" w:color="auto"/>
      </w:divBdr>
    </w:div>
    <w:div w:id="128060615">
      <w:bodyDiv w:val="1"/>
      <w:marLeft w:val="0"/>
      <w:marRight w:val="0"/>
      <w:marTop w:val="0"/>
      <w:marBottom w:val="0"/>
      <w:divBdr>
        <w:top w:val="none" w:sz="0" w:space="0" w:color="auto"/>
        <w:left w:val="none" w:sz="0" w:space="0" w:color="auto"/>
        <w:bottom w:val="none" w:sz="0" w:space="0" w:color="auto"/>
        <w:right w:val="none" w:sz="0" w:space="0" w:color="auto"/>
      </w:divBdr>
    </w:div>
    <w:div w:id="196818186">
      <w:bodyDiv w:val="1"/>
      <w:marLeft w:val="0"/>
      <w:marRight w:val="0"/>
      <w:marTop w:val="0"/>
      <w:marBottom w:val="0"/>
      <w:divBdr>
        <w:top w:val="none" w:sz="0" w:space="0" w:color="auto"/>
        <w:left w:val="none" w:sz="0" w:space="0" w:color="auto"/>
        <w:bottom w:val="none" w:sz="0" w:space="0" w:color="auto"/>
        <w:right w:val="none" w:sz="0" w:space="0" w:color="auto"/>
      </w:divBdr>
    </w:div>
    <w:div w:id="210925505">
      <w:bodyDiv w:val="1"/>
      <w:marLeft w:val="0"/>
      <w:marRight w:val="0"/>
      <w:marTop w:val="0"/>
      <w:marBottom w:val="0"/>
      <w:divBdr>
        <w:top w:val="none" w:sz="0" w:space="0" w:color="auto"/>
        <w:left w:val="none" w:sz="0" w:space="0" w:color="auto"/>
        <w:bottom w:val="none" w:sz="0" w:space="0" w:color="auto"/>
        <w:right w:val="none" w:sz="0" w:space="0" w:color="auto"/>
      </w:divBdr>
      <w:divsChild>
        <w:div w:id="221185782">
          <w:marLeft w:val="0"/>
          <w:marRight w:val="0"/>
          <w:marTop w:val="0"/>
          <w:marBottom w:val="0"/>
          <w:divBdr>
            <w:top w:val="none" w:sz="0" w:space="0" w:color="auto"/>
            <w:left w:val="none" w:sz="0" w:space="0" w:color="auto"/>
            <w:bottom w:val="none" w:sz="0" w:space="0" w:color="auto"/>
            <w:right w:val="none" w:sz="0" w:space="0" w:color="auto"/>
          </w:divBdr>
          <w:divsChild>
            <w:div w:id="629357512">
              <w:marLeft w:val="0"/>
              <w:marRight w:val="0"/>
              <w:marTop w:val="0"/>
              <w:marBottom w:val="0"/>
              <w:divBdr>
                <w:top w:val="none" w:sz="0" w:space="0" w:color="auto"/>
                <w:left w:val="none" w:sz="0" w:space="0" w:color="auto"/>
                <w:bottom w:val="none" w:sz="0" w:space="0" w:color="auto"/>
                <w:right w:val="none" w:sz="0" w:space="0" w:color="auto"/>
              </w:divBdr>
              <w:divsChild>
                <w:div w:id="121978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05814">
      <w:bodyDiv w:val="1"/>
      <w:marLeft w:val="0"/>
      <w:marRight w:val="0"/>
      <w:marTop w:val="0"/>
      <w:marBottom w:val="0"/>
      <w:divBdr>
        <w:top w:val="none" w:sz="0" w:space="0" w:color="auto"/>
        <w:left w:val="none" w:sz="0" w:space="0" w:color="auto"/>
        <w:bottom w:val="none" w:sz="0" w:space="0" w:color="auto"/>
        <w:right w:val="none" w:sz="0" w:space="0" w:color="auto"/>
      </w:divBdr>
    </w:div>
    <w:div w:id="430661971">
      <w:bodyDiv w:val="1"/>
      <w:marLeft w:val="0"/>
      <w:marRight w:val="0"/>
      <w:marTop w:val="0"/>
      <w:marBottom w:val="0"/>
      <w:divBdr>
        <w:top w:val="none" w:sz="0" w:space="0" w:color="auto"/>
        <w:left w:val="none" w:sz="0" w:space="0" w:color="auto"/>
        <w:bottom w:val="none" w:sz="0" w:space="0" w:color="auto"/>
        <w:right w:val="none" w:sz="0" w:space="0" w:color="auto"/>
      </w:divBdr>
    </w:div>
    <w:div w:id="493764080">
      <w:bodyDiv w:val="1"/>
      <w:marLeft w:val="0"/>
      <w:marRight w:val="0"/>
      <w:marTop w:val="0"/>
      <w:marBottom w:val="0"/>
      <w:divBdr>
        <w:top w:val="none" w:sz="0" w:space="0" w:color="auto"/>
        <w:left w:val="none" w:sz="0" w:space="0" w:color="auto"/>
        <w:bottom w:val="none" w:sz="0" w:space="0" w:color="auto"/>
        <w:right w:val="none" w:sz="0" w:space="0" w:color="auto"/>
      </w:divBdr>
    </w:div>
    <w:div w:id="504907404">
      <w:bodyDiv w:val="1"/>
      <w:marLeft w:val="0"/>
      <w:marRight w:val="0"/>
      <w:marTop w:val="0"/>
      <w:marBottom w:val="0"/>
      <w:divBdr>
        <w:top w:val="none" w:sz="0" w:space="0" w:color="auto"/>
        <w:left w:val="none" w:sz="0" w:space="0" w:color="auto"/>
        <w:bottom w:val="none" w:sz="0" w:space="0" w:color="auto"/>
        <w:right w:val="none" w:sz="0" w:space="0" w:color="auto"/>
      </w:divBdr>
    </w:div>
    <w:div w:id="781190062">
      <w:bodyDiv w:val="1"/>
      <w:marLeft w:val="0"/>
      <w:marRight w:val="0"/>
      <w:marTop w:val="0"/>
      <w:marBottom w:val="0"/>
      <w:divBdr>
        <w:top w:val="none" w:sz="0" w:space="0" w:color="auto"/>
        <w:left w:val="none" w:sz="0" w:space="0" w:color="auto"/>
        <w:bottom w:val="none" w:sz="0" w:space="0" w:color="auto"/>
        <w:right w:val="none" w:sz="0" w:space="0" w:color="auto"/>
      </w:divBdr>
    </w:div>
    <w:div w:id="783304809">
      <w:bodyDiv w:val="1"/>
      <w:marLeft w:val="0"/>
      <w:marRight w:val="0"/>
      <w:marTop w:val="0"/>
      <w:marBottom w:val="0"/>
      <w:divBdr>
        <w:top w:val="none" w:sz="0" w:space="0" w:color="auto"/>
        <w:left w:val="none" w:sz="0" w:space="0" w:color="auto"/>
        <w:bottom w:val="none" w:sz="0" w:space="0" w:color="auto"/>
        <w:right w:val="none" w:sz="0" w:space="0" w:color="auto"/>
      </w:divBdr>
    </w:div>
    <w:div w:id="869538569">
      <w:bodyDiv w:val="1"/>
      <w:marLeft w:val="0"/>
      <w:marRight w:val="0"/>
      <w:marTop w:val="0"/>
      <w:marBottom w:val="0"/>
      <w:divBdr>
        <w:top w:val="none" w:sz="0" w:space="0" w:color="auto"/>
        <w:left w:val="none" w:sz="0" w:space="0" w:color="auto"/>
        <w:bottom w:val="none" w:sz="0" w:space="0" w:color="auto"/>
        <w:right w:val="none" w:sz="0" w:space="0" w:color="auto"/>
      </w:divBdr>
    </w:div>
    <w:div w:id="897546730">
      <w:bodyDiv w:val="1"/>
      <w:marLeft w:val="0"/>
      <w:marRight w:val="0"/>
      <w:marTop w:val="0"/>
      <w:marBottom w:val="0"/>
      <w:divBdr>
        <w:top w:val="none" w:sz="0" w:space="0" w:color="auto"/>
        <w:left w:val="none" w:sz="0" w:space="0" w:color="auto"/>
        <w:bottom w:val="none" w:sz="0" w:space="0" w:color="auto"/>
        <w:right w:val="none" w:sz="0" w:space="0" w:color="auto"/>
      </w:divBdr>
    </w:div>
    <w:div w:id="920144725">
      <w:bodyDiv w:val="1"/>
      <w:marLeft w:val="0"/>
      <w:marRight w:val="0"/>
      <w:marTop w:val="0"/>
      <w:marBottom w:val="0"/>
      <w:divBdr>
        <w:top w:val="none" w:sz="0" w:space="0" w:color="auto"/>
        <w:left w:val="none" w:sz="0" w:space="0" w:color="auto"/>
        <w:bottom w:val="none" w:sz="0" w:space="0" w:color="auto"/>
        <w:right w:val="none" w:sz="0" w:space="0" w:color="auto"/>
      </w:divBdr>
    </w:div>
    <w:div w:id="1110315308">
      <w:bodyDiv w:val="1"/>
      <w:marLeft w:val="0"/>
      <w:marRight w:val="0"/>
      <w:marTop w:val="0"/>
      <w:marBottom w:val="0"/>
      <w:divBdr>
        <w:top w:val="none" w:sz="0" w:space="0" w:color="auto"/>
        <w:left w:val="none" w:sz="0" w:space="0" w:color="auto"/>
        <w:bottom w:val="none" w:sz="0" w:space="0" w:color="auto"/>
        <w:right w:val="none" w:sz="0" w:space="0" w:color="auto"/>
      </w:divBdr>
    </w:div>
    <w:div w:id="1130325494">
      <w:bodyDiv w:val="1"/>
      <w:marLeft w:val="0"/>
      <w:marRight w:val="0"/>
      <w:marTop w:val="0"/>
      <w:marBottom w:val="0"/>
      <w:divBdr>
        <w:top w:val="none" w:sz="0" w:space="0" w:color="auto"/>
        <w:left w:val="none" w:sz="0" w:space="0" w:color="auto"/>
        <w:bottom w:val="none" w:sz="0" w:space="0" w:color="auto"/>
        <w:right w:val="none" w:sz="0" w:space="0" w:color="auto"/>
      </w:divBdr>
    </w:div>
    <w:div w:id="1217014811">
      <w:bodyDiv w:val="1"/>
      <w:marLeft w:val="0"/>
      <w:marRight w:val="0"/>
      <w:marTop w:val="0"/>
      <w:marBottom w:val="0"/>
      <w:divBdr>
        <w:top w:val="none" w:sz="0" w:space="0" w:color="auto"/>
        <w:left w:val="none" w:sz="0" w:space="0" w:color="auto"/>
        <w:bottom w:val="none" w:sz="0" w:space="0" w:color="auto"/>
        <w:right w:val="none" w:sz="0" w:space="0" w:color="auto"/>
      </w:divBdr>
    </w:div>
    <w:div w:id="1240559454">
      <w:bodyDiv w:val="1"/>
      <w:marLeft w:val="0"/>
      <w:marRight w:val="0"/>
      <w:marTop w:val="0"/>
      <w:marBottom w:val="0"/>
      <w:divBdr>
        <w:top w:val="none" w:sz="0" w:space="0" w:color="auto"/>
        <w:left w:val="none" w:sz="0" w:space="0" w:color="auto"/>
        <w:bottom w:val="none" w:sz="0" w:space="0" w:color="auto"/>
        <w:right w:val="none" w:sz="0" w:space="0" w:color="auto"/>
      </w:divBdr>
    </w:div>
    <w:div w:id="1366130024">
      <w:bodyDiv w:val="1"/>
      <w:marLeft w:val="0"/>
      <w:marRight w:val="0"/>
      <w:marTop w:val="0"/>
      <w:marBottom w:val="0"/>
      <w:divBdr>
        <w:top w:val="none" w:sz="0" w:space="0" w:color="auto"/>
        <w:left w:val="none" w:sz="0" w:space="0" w:color="auto"/>
        <w:bottom w:val="none" w:sz="0" w:space="0" w:color="auto"/>
        <w:right w:val="none" w:sz="0" w:space="0" w:color="auto"/>
      </w:divBdr>
    </w:div>
    <w:div w:id="1425228891">
      <w:bodyDiv w:val="1"/>
      <w:marLeft w:val="0"/>
      <w:marRight w:val="0"/>
      <w:marTop w:val="0"/>
      <w:marBottom w:val="0"/>
      <w:divBdr>
        <w:top w:val="none" w:sz="0" w:space="0" w:color="auto"/>
        <w:left w:val="none" w:sz="0" w:space="0" w:color="auto"/>
        <w:bottom w:val="none" w:sz="0" w:space="0" w:color="auto"/>
        <w:right w:val="none" w:sz="0" w:space="0" w:color="auto"/>
      </w:divBdr>
    </w:div>
    <w:div w:id="1474374151">
      <w:bodyDiv w:val="1"/>
      <w:marLeft w:val="0"/>
      <w:marRight w:val="0"/>
      <w:marTop w:val="0"/>
      <w:marBottom w:val="0"/>
      <w:divBdr>
        <w:top w:val="none" w:sz="0" w:space="0" w:color="auto"/>
        <w:left w:val="none" w:sz="0" w:space="0" w:color="auto"/>
        <w:bottom w:val="none" w:sz="0" w:space="0" w:color="auto"/>
        <w:right w:val="none" w:sz="0" w:space="0" w:color="auto"/>
      </w:divBdr>
    </w:div>
    <w:div w:id="1488785929">
      <w:bodyDiv w:val="1"/>
      <w:marLeft w:val="0"/>
      <w:marRight w:val="0"/>
      <w:marTop w:val="0"/>
      <w:marBottom w:val="0"/>
      <w:divBdr>
        <w:top w:val="none" w:sz="0" w:space="0" w:color="auto"/>
        <w:left w:val="none" w:sz="0" w:space="0" w:color="auto"/>
        <w:bottom w:val="none" w:sz="0" w:space="0" w:color="auto"/>
        <w:right w:val="none" w:sz="0" w:space="0" w:color="auto"/>
      </w:divBdr>
    </w:div>
    <w:div w:id="1504855182">
      <w:bodyDiv w:val="1"/>
      <w:marLeft w:val="0"/>
      <w:marRight w:val="0"/>
      <w:marTop w:val="0"/>
      <w:marBottom w:val="0"/>
      <w:divBdr>
        <w:top w:val="none" w:sz="0" w:space="0" w:color="auto"/>
        <w:left w:val="none" w:sz="0" w:space="0" w:color="auto"/>
        <w:bottom w:val="none" w:sz="0" w:space="0" w:color="auto"/>
        <w:right w:val="none" w:sz="0" w:space="0" w:color="auto"/>
      </w:divBdr>
    </w:div>
    <w:div w:id="1575044434">
      <w:bodyDiv w:val="1"/>
      <w:marLeft w:val="0"/>
      <w:marRight w:val="0"/>
      <w:marTop w:val="0"/>
      <w:marBottom w:val="0"/>
      <w:divBdr>
        <w:top w:val="none" w:sz="0" w:space="0" w:color="auto"/>
        <w:left w:val="none" w:sz="0" w:space="0" w:color="auto"/>
        <w:bottom w:val="none" w:sz="0" w:space="0" w:color="auto"/>
        <w:right w:val="none" w:sz="0" w:space="0" w:color="auto"/>
      </w:divBdr>
    </w:div>
    <w:div w:id="1680428335">
      <w:bodyDiv w:val="1"/>
      <w:marLeft w:val="0"/>
      <w:marRight w:val="0"/>
      <w:marTop w:val="0"/>
      <w:marBottom w:val="0"/>
      <w:divBdr>
        <w:top w:val="none" w:sz="0" w:space="0" w:color="auto"/>
        <w:left w:val="none" w:sz="0" w:space="0" w:color="auto"/>
        <w:bottom w:val="none" w:sz="0" w:space="0" w:color="auto"/>
        <w:right w:val="none" w:sz="0" w:space="0" w:color="auto"/>
      </w:divBdr>
    </w:div>
    <w:div w:id="1793091790">
      <w:bodyDiv w:val="1"/>
      <w:marLeft w:val="0"/>
      <w:marRight w:val="0"/>
      <w:marTop w:val="0"/>
      <w:marBottom w:val="0"/>
      <w:divBdr>
        <w:top w:val="none" w:sz="0" w:space="0" w:color="auto"/>
        <w:left w:val="none" w:sz="0" w:space="0" w:color="auto"/>
        <w:bottom w:val="none" w:sz="0" w:space="0" w:color="auto"/>
        <w:right w:val="none" w:sz="0" w:space="0" w:color="auto"/>
      </w:divBdr>
    </w:div>
    <w:div w:id="1858082949">
      <w:bodyDiv w:val="1"/>
      <w:marLeft w:val="0"/>
      <w:marRight w:val="0"/>
      <w:marTop w:val="0"/>
      <w:marBottom w:val="0"/>
      <w:divBdr>
        <w:top w:val="none" w:sz="0" w:space="0" w:color="auto"/>
        <w:left w:val="none" w:sz="0" w:space="0" w:color="auto"/>
        <w:bottom w:val="none" w:sz="0" w:space="0" w:color="auto"/>
        <w:right w:val="none" w:sz="0" w:space="0" w:color="auto"/>
      </w:divBdr>
    </w:div>
    <w:div w:id="1968046226">
      <w:bodyDiv w:val="1"/>
      <w:marLeft w:val="0"/>
      <w:marRight w:val="0"/>
      <w:marTop w:val="0"/>
      <w:marBottom w:val="0"/>
      <w:divBdr>
        <w:top w:val="none" w:sz="0" w:space="0" w:color="auto"/>
        <w:left w:val="none" w:sz="0" w:space="0" w:color="auto"/>
        <w:bottom w:val="none" w:sz="0" w:space="0" w:color="auto"/>
        <w:right w:val="none" w:sz="0" w:space="0" w:color="auto"/>
      </w:divBdr>
    </w:div>
    <w:div w:id="2031682725">
      <w:bodyDiv w:val="1"/>
      <w:marLeft w:val="0"/>
      <w:marRight w:val="0"/>
      <w:marTop w:val="0"/>
      <w:marBottom w:val="0"/>
      <w:divBdr>
        <w:top w:val="none" w:sz="0" w:space="0" w:color="auto"/>
        <w:left w:val="none" w:sz="0" w:space="0" w:color="auto"/>
        <w:bottom w:val="none" w:sz="0" w:space="0" w:color="auto"/>
        <w:right w:val="none" w:sz="0" w:space="0" w:color="auto"/>
      </w:divBdr>
    </w:div>
    <w:div w:id="2034182964">
      <w:bodyDiv w:val="1"/>
      <w:marLeft w:val="0"/>
      <w:marRight w:val="0"/>
      <w:marTop w:val="0"/>
      <w:marBottom w:val="0"/>
      <w:divBdr>
        <w:top w:val="none" w:sz="0" w:space="0" w:color="auto"/>
        <w:left w:val="none" w:sz="0" w:space="0" w:color="auto"/>
        <w:bottom w:val="none" w:sz="0" w:space="0" w:color="auto"/>
        <w:right w:val="none" w:sz="0" w:space="0" w:color="auto"/>
      </w:divBdr>
    </w:div>
    <w:div w:id="2037347588">
      <w:bodyDiv w:val="1"/>
      <w:marLeft w:val="0"/>
      <w:marRight w:val="0"/>
      <w:marTop w:val="0"/>
      <w:marBottom w:val="0"/>
      <w:divBdr>
        <w:top w:val="none" w:sz="0" w:space="0" w:color="auto"/>
        <w:left w:val="none" w:sz="0" w:space="0" w:color="auto"/>
        <w:bottom w:val="none" w:sz="0" w:space="0" w:color="auto"/>
        <w:right w:val="none" w:sz="0" w:space="0" w:color="auto"/>
      </w:divBdr>
    </w:div>
    <w:div w:id="2074542679">
      <w:bodyDiv w:val="1"/>
      <w:marLeft w:val="0"/>
      <w:marRight w:val="0"/>
      <w:marTop w:val="0"/>
      <w:marBottom w:val="0"/>
      <w:divBdr>
        <w:top w:val="none" w:sz="0" w:space="0" w:color="auto"/>
        <w:left w:val="none" w:sz="0" w:space="0" w:color="auto"/>
        <w:bottom w:val="none" w:sz="0" w:space="0" w:color="auto"/>
        <w:right w:val="none" w:sz="0" w:space="0" w:color="auto"/>
      </w:divBdr>
    </w:div>
    <w:div w:id="210163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fficiostampa@cdcraee.it" TargetMode="External"/><Relationship Id="rId5" Type="http://schemas.openxmlformats.org/officeDocument/2006/relationships/styles" Target="styles.xml"/><Relationship Id="rId10" Type="http://schemas.openxmlformats.org/officeDocument/2006/relationships/hyperlink" Target="https://eur02.safelinks.protection.outlook.com/?url=https%3A%2F%2Fwww.cdcraee.it%2Frapporti-raee%2Frapporto-annuale-2025%2F&amp;data=05%7C02%7Cfederica.porta%40cdcraee.it%7Ca1eed8fa67e34fb79fe008de79cf8357%7C754c7658c9094d49887110c93d970018%7C0%7C0%7C639082129379242237%7CUnknown%7CTWFpbGZsb3d8eyJFbXB0eU1hcGkiOnRydWUsIlYiOiIwLjAuMDAwMCIsIlAiOiJXaW4zMiIsIkFOIjoiTWFpbCIsIldUIjoyfQ%3D%3D%7C0%7C%7C%7C&amp;sdata=F%2Bc74SaAoEOym8sUOYAhO3cVdwG38cGM8H%2BifrtKuHk%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544E5842E0674D963BAFDA56E055CA" ma:contentTypeVersion="16" ma:contentTypeDescription="Create a new document." ma:contentTypeScope="" ma:versionID="1a24494c35d21ff344f90c5479483973">
  <xsd:schema xmlns:xsd="http://www.w3.org/2001/XMLSchema" xmlns:xs="http://www.w3.org/2001/XMLSchema" xmlns:p="http://schemas.microsoft.com/office/2006/metadata/properties" xmlns:ns2="57524266-74ba-48e2-ab0c-fdc99156b129" xmlns:ns3="5cd648e5-a20f-402f-8cdf-4bed1626a313" targetNamespace="http://schemas.microsoft.com/office/2006/metadata/properties" ma:root="true" ma:fieldsID="5c7b56721c7d26d0839cc8956993e128" ns2:_="" ns3:_="">
    <xsd:import namespace="57524266-74ba-48e2-ab0c-fdc99156b129"/>
    <xsd:import namespace="5cd648e5-a20f-402f-8cdf-4bed1626a3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24266-74ba-48e2-ab0c-fdc99156b12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2c596b-a525-421e-9fdb-2a03ad3753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d648e5-a20f-402f-8cdf-4bed1626a31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b1e473-e029-491b-9584-2a95ec8f8557}" ma:internalName="TaxCatchAll" ma:showField="CatchAllData" ma:web="5cd648e5-a20f-402f-8cdf-4bed1626a3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885A0-5D15-4A7D-B813-C521D4B47CDD}">
  <ds:schemaRefs>
    <ds:schemaRef ds:uri="http://schemas.openxmlformats.org/officeDocument/2006/bibliography"/>
  </ds:schemaRefs>
</ds:datastoreItem>
</file>

<file path=customXml/itemProps2.xml><?xml version="1.0" encoding="utf-8"?>
<ds:datastoreItem xmlns:ds="http://schemas.openxmlformats.org/officeDocument/2006/customXml" ds:itemID="{CF0C009B-2640-4183-ABE6-344D4B9755B4}">
  <ds:schemaRefs>
    <ds:schemaRef ds:uri="http://schemas.microsoft.com/sharepoint/v3/contenttype/forms"/>
  </ds:schemaRefs>
</ds:datastoreItem>
</file>

<file path=customXml/itemProps3.xml><?xml version="1.0" encoding="utf-8"?>
<ds:datastoreItem xmlns:ds="http://schemas.openxmlformats.org/officeDocument/2006/customXml" ds:itemID="{AA261D9D-7216-474D-A3CB-DD8CCEC48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24266-74ba-48e2-ab0c-fdc99156b129"/>
    <ds:schemaRef ds:uri="5cd648e5-a20f-402f-8cdf-4bed1626a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1348</Words>
  <Characters>7690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elena.scandroglio@outlook.it</dc:creator>
  <cp:keywords/>
  <dc:description/>
  <cp:lastModifiedBy>Federica Porta</cp:lastModifiedBy>
  <cp:revision>135</cp:revision>
  <cp:lastPrinted>2023-02-23T22:55:00Z</cp:lastPrinted>
  <dcterms:created xsi:type="dcterms:W3CDTF">2024-03-05T09:13:00Z</dcterms:created>
  <dcterms:modified xsi:type="dcterms:W3CDTF">2026-03-18T14:29:00Z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